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635995">
      <w:pPr>
        <w:rPr>
          <w:rFonts w:hint="eastAsia" w:ascii="黑体" w:hAnsi="黑体" w:eastAsia="黑体"/>
          <w:sz w:val="32"/>
          <w:szCs w:val="32"/>
        </w:rPr>
      </w:pPr>
    </w:p>
    <w:p w14:paraId="4C707B8D">
      <w:pPr>
        <w:jc w:val="center"/>
        <w:rPr>
          <w:rFonts w:hint="eastAsia" w:ascii="方正小标宋_GBK" w:hAnsi="宋体" w:eastAsia="方正小标宋_GBK"/>
          <w:sz w:val="44"/>
          <w:szCs w:val="44"/>
        </w:rPr>
      </w:pPr>
    </w:p>
    <w:p w14:paraId="1240A292">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木垒哈萨克自治县司法局</w:t>
      </w:r>
    </w:p>
    <w:p w14:paraId="54A9866A">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06968660">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57ADB9A3">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3EB774DC">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1F0B032D">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0485945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1399846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037974B5">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657EFEF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540776C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3D64D3F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0236CA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4A0B89D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7B515F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39196CE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1F743D5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49617DB5">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3C20597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401482AB">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6DE5B78E">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20BFAFD5">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74C951E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6A58B8E0">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68B96A2D">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2C2B2368">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0DFA053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4BA66D1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4AB4C77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14557A4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2E4098F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7F37E9E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1F1638E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329125D2">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0564BC77">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049EC62D">
      <w:r>
        <w:rPr>
          <w:rFonts w:hint="eastAsia" w:ascii="仿宋_GB2312" w:hAnsi="仿宋_GB2312" w:eastAsia="仿宋_GB2312" w:cs="仿宋_GB2312"/>
          <w:sz w:val="32"/>
          <w:szCs w:val="32"/>
        </w:rPr>
        <w:fldChar w:fldCharType="end"/>
      </w:r>
    </w:p>
    <w:p w14:paraId="5A254E84">
      <w:pPr>
        <w:rPr>
          <w:rFonts w:ascii="仿宋_GB2312" w:eastAsia="仿宋_GB2312"/>
          <w:sz w:val="32"/>
          <w:szCs w:val="32"/>
        </w:rPr>
      </w:pPr>
      <w:r>
        <w:rPr>
          <w:rFonts w:hint="eastAsia" w:ascii="仿宋_GB2312" w:eastAsia="仿宋_GB2312"/>
          <w:sz w:val="32"/>
          <w:szCs w:val="32"/>
        </w:rPr>
        <w:br w:type="page"/>
      </w:r>
    </w:p>
    <w:p w14:paraId="6441F132">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50CF03CC">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30D193E2">
      <w:pPr>
        <w:ind w:firstLine="640" w:firstLineChars="200"/>
        <w:rPr>
          <w:rFonts w:ascii="仿宋_GB2312" w:eastAsia="仿宋_GB2312"/>
          <w:sz w:val="32"/>
          <w:szCs w:val="32"/>
        </w:rPr>
      </w:pPr>
      <w:r>
        <w:rPr>
          <w:rFonts w:hint="eastAsia" w:ascii="仿宋_GB2312" w:eastAsia="仿宋_GB2312"/>
          <w:sz w:val="32"/>
          <w:szCs w:val="32"/>
          <w:lang w:eastAsia="zh-CN"/>
        </w:rPr>
        <w:t>1.</w:t>
      </w:r>
      <w:r>
        <w:rPr>
          <w:rFonts w:hint="eastAsia" w:ascii="仿宋_GB2312" w:eastAsia="仿宋_GB2312"/>
          <w:sz w:val="32"/>
          <w:szCs w:val="32"/>
        </w:rPr>
        <w:t>贯彻执行国家司法行政工作方针、政策</w:t>
      </w:r>
      <w:r>
        <w:rPr>
          <w:rFonts w:hint="eastAsia" w:ascii="仿宋_GB2312" w:eastAsia="仿宋_GB2312"/>
          <w:sz w:val="32"/>
          <w:szCs w:val="32"/>
          <w:lang w:eastAsia="zh-CN"/>
        </w:rPr>
        <w:t>，</w:t>
      </w:r>
      <w:r>
        <w:rPr>
          <w:rFonts w:hint="eastAsia" w:ascii="仿宋_GB2312" w:eastAsia="仿宋_GB2312"/>
          <w:sz w:val="32"/>
          <w:szCs w:val="32"/>
        </w:rPr>
        <w:t>研究制定全县司法行政工作中、长期规划和年度计划</w:t>
      </w:r>
      <w:r>
        <w:rPr>
          <w:rFonts w:hint="eastAsia" w:ascii="仿宋_GB2312" w:eastAsia="仿宋_GB2312"/>
          <w:sz w:val="32"/>
          <w:szCs w:val="32"/>
          <w:lang w:eastAsia="zh-CN"/>
        </w:rPr>
        <w:t>，</w:t>
      </w:r>
      <w:r>
        <w:rPr>
          <w:rFonts w:hint="eastAsia" w:ascii="仿宋_GB2312" w:eastAsia="仿宋_GB2312"/>
          <w:sz w:val="32"/>
          <w:szCs w:val="32"/>
        </w:rPr>
        <w:t>并监督实施。</w:t>
      </w:r>
    </w:p>
    <w:p w14:paraId="732318B8">
      <w:pPr>
        <w:ind w:firstLine="640" w:firstLineChars="200"/>
        <w:rPr>
          <w:rFonts w:ascii="仿宋_GB2312" w:eastAsia="仿宋_GB2312"/>
          <w:sz w:val="32"/>
          <w:szCs w:val="32"/>
        </w:rPr>
      </w:pPr>
      <w:r>
        <w:rPr>
          <w:rFonts w:hint="eastAsia" w:ascii="仿宋_GB2312" w:eastAsia="仿宋_GB2312"/>
          <w:sz w:val="32"/>
          <w:szCs w:val="32"/>
          <w:lang w:eastAsia="zh-CN"/>
        </w:rPr>
        <w:t>2.</w:t>
      </w:r>
      <w:r>
        <w:rPr>
          <w:rFonts w:hint="eastAsia" w:ascii="仿宋_GB2312" w:eastAsia="仿宋_GB2312"/>
          <w:sz w:val="32"/>
          <w:szCs w:val="32"/>
        </w:rPr>
        <w:t>制定全县法制教育和依法治县规划</w:t>
      </w:r>
      <w:r>
        <w:rPr>
          <w:rFonts w:hint="eastAsia" w:ascii="仿宋_GB2312" w:eastAsia="仿宋_GB2312"/>
          <w:sz w:val="32"/>
          <w:szCs w:val="32"/>
          <w:lang w:eastAsia="zh-CN"/>
        </w:rPr>
        <w:t>，</w:t>
      </w:r>
      <w:r>
        <w:rPr>
          <w:rFonts w:hint="eastAsia" w:ascii="仿宋_GB2312" w:eastAsia="仿宋_GB2312"/>
          <w:sz w:val="32"/>
          <w:szCs w:val="32"/>
        </w:rPr>
        <w:t>并组织实施。</w:t>
      </w:r>
    </w:p>
    <w:p w14:paraId="24783FF5">
      <w:pPr>
        <w:ind w:firstLine="640" w:firstLineChars="200"/>
        <w:rPr>
          <w:rFonts w:ascii="仿宋_GB2312" w:eastAsia="仿宋_GB2312"/>
          <w:sz w:val="32"/>
          <w:szCs w:val="32"/>
        </w:rPr>
      </w:pPr>
      <w:r>
        <w:rPr>
          <w:rFonts w:hint="eastAsia" w:ascii="仿宋_GB2312" w:eastAsia="仿宋_GB2312"/>
          <w:sz w:val="32"/>
          <w:szCs w:val="32"/>
          <w:lang w:eastAsia="zh-CN"/>
        </w:rPr>
        <w:t>3.</w:t>
      </w:r>
      <w:r>
        <w:rPr>
          <w:rFonts w:hint="eastAsia" w:ascii="仿宋_GB2312" w:eastAsia="仿宋_GB2312"/>
          <w:sz w:val="32"/>
          <w:szCs w:val="32"/>
        </w:rPr>
        <w:t>指导全县人民调解工作和乡、镇法律服务工作</w:t>
      </w:r>
      <w:r>
        <w:rPr>
          <w:rFonts w:hint="eastAsia" w:ascii="仿宋_GB2312" w:eastAsia="仿宋_GB2312"/>
          <w:sz w:val="32"/>
          <w:szCs w:val="32"/>
          <w:lang w:eastAsia="zh-CN"/>
        </w:rPr>
        <w:t>，</w:t>
      </w:r>
      <w:r>
        <w:rPr>
          <w:rFonts w:hint="eastAsia" w:ascii="仿宋_GB2312" w:eastAsia="仿宋_GB2312"/>
          <w:sz w:val="32"/>
          <w:szCs w:val="32"/>
        </w:rPr>
        <w:t>参与社会治安综合治理；监督管理自治县社区矫正、安置帮教工作。</w:t>
      </w:r>
    </w:p>
    <w:p w14:paraId="343A703F">
      <w:pPr>
        <w:ind w:firstLine="640" w:firstLineChars="200"/>
        <w:rPr>
          <w:rFonts w:ascii="仿宋_GB2312" w:eastAsia="仿宋_GB2312"/>
          <w:sz w:val="32"/>
          <w:szCs w:val="32"/>
        </w:rPr>
      </w:pPr>
      <w:r>
        <w:rPr>
          <w:rFonts w:hint="eastAsia" w:ascii="仿宋_GB2312" w:eastAsia="仿宋_GB2312"/>
          <w:sz w:val="32"/>
          <w:szCs w:val="32"/>
          <w:lang w:eastAsia="zh-CN"/>
        </w:rPr>
        <w:t>4.</w:t>
      </w:r>
      <w:r>
        <w:rPr>
          <w:rFonts w:hint="eastAsia" w:ascii="仿宋_GB2312" w:eastAsia="仿宋_GB2312"/>
          <w:sz w:val="32"/>
          <w:szCs w:val="32"/>
        </w:rPr>
        <w:t>管理和指导全县律师工作和法律顾问工作，综合管理社会法律服务机构。</w:t>
      </w:r>
    </w:p>
    <w:p w14:paraId="40F0FD59">
      <w:pPr>
        <w:ind w:firstLine="640" w:firstLineChars="200"/>
        <w:rPr>
          <w:rFonts w:ascii="仿宋_GB2312" w:eastAsia="仿宋_GB2312"/>
          <w:sz w:val="32"/>
          <w:szCs w:val="32"/>
        </w:rPr>
      </w:pPr>
      <w:r>
        <w:rPr>
          <w:rFonts w:hint="eastAsia" w:ascii="仿宋_GB2312" w:eastAsia="仿宋_GB2312"/>
          <w:sz w:val="32"/>
          <w:szCs w:val="32"/>
          <w:lang w:eastAsia="zh-CN"/>
        </w:rPr>
        <w:t>5.</w:t>
      </w:r>
      <w:r>
        <w:rPr>
          <w:rFonts w:hint="eastAsia" w:ascii="仿宋_GB2312" w:eastAsia="仿宋_GB2312"/>
          <w:sz w:val="32"/>
          <w:szCs w:val="32"/>
        </w:rPr>
        <w:t>管理和指导全县公证机构和公证业务活动。</w:t>
      </w:r>
    </w:p>
    <w:p w14:paraId="78341EB6">
      <w:pPr>
        <w:ind w:firstLine="640" w:firstLineChars="200"/>
        <w:rPr>
          <w:rFonts w:ascii="仿宋_GB2312" w:eastAsia="仿宋_GB2312"/>
          <w:sz w:val="32"/>
          <w:szCs w:val="32"/>
        </w:rPr>
      </w:pPr>
      <w:r>
        <w:rPr>
          <w:rFonts w:hint="eastAsia" w:ascii="仿宋_GB2312" w:eastAsia="仿宋_GB2312"/>
          <w:sz w:val="32"/>
          <w:szCs w:val="32"/>
          <w:lang w:eastAsia="zh-CN"/>
        </w:rPr>
        <w:t>6.</w:t>
      </w:r>
      <w:r>
        <w:rPr>
          <w:rFonts w:hint="eastAsia" w:ascii="仿宋_GB2312" w:eastAsia="仿宋_GB2312"/>
          <w:sz w:val="32"/>
          <w:szCs w:val="32"/>
        </w:rPr>
        <w:t>负责本县辖区内监狱</w:t>
      </w:r>
      <w:r>
        <w:rPr>
          <w:rFonts w:hint="eastAsia" w:ascii="仿宋_GB2312" w:eastAsia="仿宋_GB2312"/>
          <w:sz w:val="32"/>
          <w:szCs w:val="32"/>
          <w:lang w:eastAsia="zh-CN"/>
        </w:rPr>
        <w:t>，</w:t>
      </w:r>
      <w:r>
        <w:rPr>
          <w:rFonts w:hint="eastAsia" w:ascii="仿宋_GB2312" w:eastAsia="仿宋_GB2312"/>
          <w:sz w:val="32"/>
          <w:szCs w:val="32"/>
        </w:rPr>
        <w:t>劳教所的监督，协管工作；负责特殊刑</w:t>
      </w:r>
      <w:r>
        <w:rPr>
          <w:rFonts w:hint="eastAsia" w:ascii="仿宋_GB2312" w:eastAsia="仿宋_GB2312"/>
          <w:sz w:val="32"/>
          <w:szCs w:val="32"/>
          <w:lang w:eastAsia="zh-CN"/>
        </w:rPr>
        <w:t>事</w:t>
      </w:r>
      <w:r>
        <w:rPr>
          <w:rFonts w:hint="eastAsia" w:ascii="仿宋_GB2312" w:eastAsia="仿宋_GB2312"/>
          <w:sz w:val="32"/>
          <w:szCs w:val="32"/>
        </w:rPr>
        <w:t>解教人员的接送工作。</w:t>
      </w:r>
    </w:p>
    <w:p w14:paraId="028B3517">
      <w:pPr>
        <w:ind w:firstLine="640" w:firstLineChars="200"/>
        <w:rPr>
          <w:rFonts w:ascii="仿宋_GB2312" w:eastAsia="仿宋_GB2312"/>
          <w:sz w:val="32"/>
          <w:szCs w:val="32"/>
        </w:rPr>
      </w:pPr>
      <w:r>
        <w:rPr>
          <w:rFonts w:hint="eastAsia" w:ascii="仿宋_GB2312" w:eastAsia="仿宋_GB2312"/>
          <w:sz w:val="32"/>
          <w:szCs w:val="32"/>
          <w:lang w:eastAsia="zh-CN"/>
        </w:rPr>
        <w:t>7.</w:t>
      </w:r>
      <w:r>
        <w:rPr>
          <w:rFonts w:hint="eastAsia" w:ascii="仿宋_GB2312" w:eastAsia="仿宋_GB2312"/>
          <w:sz w:val="32"/>
          <w:szCs w:val="32"/>
        </w:rPr>
        <w:t>参与地方立法工作</w:t>
      </w:r>
      <w:r>
        <w:rPr>
          <w:rFonts w:hint="eastAsia" w:ascii="仿宋_GB2312" w:eastAsia="仿宋_GB2312"/>
          <w:sz w:val="32"/>
          <w:szCs w:val="32"/>
          <w:lang w:eastAsia="zh-CN"/>
        </w:rPr>
        <w:t>，</w:t>
      </w:r>
      <w:r>
        <w:rPr>
          <w:rFonts w:hint="eastAsia" w:ascii="仿宋_GB2312" w:eastAsia="仿宋_GB2312"/>
          <w:sz w:val="32"/>
          <w:szCs w:val="32"/>
        </w:rPr>
        <w:t>负责拟定全县司法行政法规</w:t>
      </w:r>
      <w:r>
        <w:rPr>
          <w:rFonts w:hint="eastAsia" w:ascii="仿宋_GB2312" w:eastAsia="仿宋_GB2312"/>
          <w:sz w:val="32"/>
          <w:szCs w:val="32"/>
          <w:lang w:eastAsia="zh-CN"/>
        </w:rPr>
        <w:t>，</w:t>
      </w:r>
      <w:r>
        <w:rPr>
          <w:rFonts w:hint="eastAsia" w:ascii="仿宋_GB2312" w:eastAsia="仿宋_GB2312"/>
          <w:sz w:val="32"/>
          <w:szCs w:val="32"/>
        </w:rPr>
        <w:t>规章实施意见的起草工作</w:t>
      </w:r>
      <w:r>
        <w:rPr>
          <w:rFonts w:hint="eastAsia" w:ascii="仿宋_GB2312" w:eastAsia="仿宋_GB2312"/>
          <w:sz w:val="32"/>
          <w:szCs w:val="32"/>
          <w:lang w:eastAsia="zh-CN"/>
        </w:rPr>
        <w:t>，</w:t>
      </w:r>
      <w:r>
        <w:rPr>
          <w:rFonts w:hint="eastAsia" w:ascii="仿宋_GB2312" w:eastAsia="仿宋_GB2312"/>
          <w:sz w:val="32"/>
          <w:szCs w:val="32"/>
        </w:rPr>
        <w:t>指导全县司法行政机关的</w:t>
      </w:r>
      <w:r>
        <w:rPr>
          <w:rFonts w:hint="eastAsia" w:ascii="仿宋_GB2312" w:eastAsia="仿宋_GB2312"/>
          <w:sz w:val="32"/>
          <w:szCs w:val="32"/>
          <w:lang w:eastAsia="zh-CN"/>
        </w:rPr>
        <w:t>法治建设</w:t>
      </w:r>
      <w:r>
        <w:rPr>
          <w:rFonts w:hint="eastAsia" w:ascii="仿宋_GB2312" w:eastAsia="仿宋_GB2312"/>
          <w:sz w:val="32"/>
          <w:szCs w:val="32"/>
        </w:rPr>
        <w:t>、行政复议和应诉工作。</w:t>
      </w:r>
    </w:p>
    <w:p w14:paraId="31806855">
      <w:pPr>
        <w:ind w:firstLine="640" w:firstLineChars="200"/>
        <w:rPr>
          <w:rFonts w:ascii="仿宋_GB2312" w:eastAsia="仿宋_GB2312"/>
          <w:sz w:val="32"/>
          <w:szCs w:val="32"/>
        </w:rPr>
      </w:pPr>
      <w:r>
        <w:rPr>
          <w:rFonts w:hint="eastAsia" w:ascii="仿宋_GB2312" w:eastAsia="仿宋_GB2312"/>
          <w:sz w:val="32"/>
          <w:szCs w:val="32"/>
          <w:lang w:eastAsia="zh-CN"/>
        </w:rPr>
        <w:t>8.</w:t>
      </w:r>
      <w:r>
        <w:rPr>
          <w:rFonts w:hint="eastAsia" w:ascii="仿宋_GB2312" w:eastAsia="仿宋_GB2312"/>
          <w:sz w:val="32"/>
          <w:szCs w:val="32"/>
        </w:rPr>
        <w:t>指导全县司法行政系统的思想政治工作和队伍建设</w:t>
      </w:r>
      <w:r>
        <w:rPr>
          <w:rFonts w:hint="eastAsia" w:ascii="仿宋_GB2312" w:eastAsia="仿宋_GB2312"/>
          <w:sz w:val="32"/>
          <w:szCs w:val="32"/>
          <w:lang w:eastAsia="zh-CN"/>
        </w:rPr>
        <w:t>，</w:t>
      </w:r>
      <w:r>
        <w:rPr>
          <w:rFonts w:hint="eastAsia" w:ascii="仿宋_GB2312" w:eastAsia="仿宋_GB2312"/>
          <w:sz w:val="32"/>
          <w:szCs w:val="32"/>
        </w:rPr>
        <w:t>协助乡、镇党委做好全县各乡、镇司法助理员的考核、管理</w:t>
      </w:r>
      <w:r>
        <w:rPr>
          <w:rFonts w:hint="eastAsia" w:ascii="仿宋_GB2312" w:eastAsia="仿宋_GB2312"/>
          <w:sz w:val="32"/>
          <w:szCs w:val="32"/>
          <w:lang w:eastAsia="zh-CN"/>
        </w:rPr>
        <w:t>，</w:t>
      </w:r>
      <w:r>
        <w:rPr>
          <w:rFonts w:hint="eastAsia" w:ascii="仿宋_GB2312" w:eastAsia="仿宋_GB2312"/>
          <w:sz w:val="32"/>
          <w:szCs w:val="32"/>
        </w:rPr>
        <w:t>协助做好辖区内劳教所领导的考核配备工作</w:t>
      </w:r>
      <w:r>
        <w:rPr>
          <w:rFonts w:hint="eastAsia" w:ascii="仿宋_GB2312" w:eastAsia="仿宋_GB2312"/>
          <w:sz w:val="32"/>
          <w:szCs w:val="32"/>
          <w:lang w:eastAsia="zh-CN"/>
        </w:rPr>
        <w:t>，</w:t>
      </w:r>
      <w:r>
        <w:rPr>
          <w:rFonts w:hint="eastAsia" w:ascii="仿宋_GB2312" w:eastAsia="仿宋_GB2312"/>
          <w:sz w:val="32"/>
          <w:szCs w:val="32"/>
        </w:rPr>
        <w:t>负责全县律师、公证员、乡、镇法律服务工作者</w:t>
      </w:r>
      <w:r>
        <w:rPr>
          <w:rFonts w:hint="eastAsia" w:ascii="仿宋_GB2312" w:eastAsia="仿宋_GB2312"/>
          <w:sz w:val="32"/>
          <w:szCs w:val="32"/>
          <w:lang w:eastAsia="zh-CN"/>
        </w:rPr>
        <w:t>，</w:t>
      </w:r>
      <w:r>
        <w:rPr>
          <w:rFonts w:hint="eastAsia" w:ascii="仿宋_GB2312" w:eastAsia="仿宋_GB2312"/>
          <w:sz w:val="32"/>
          <w:szCs w:val="32"/>
        </w:rPr>
        <w:t>司法助理员的惩戒工作。</w:t>
      </w:r>
    </w:p>
    <w:p w14:paraId="262F4878">
      <w:pPr>
        <w:ind w:firstLine="640" w:firstLineChars="200"/>
        <w:rPr>
          <w:rFonts w:ascii="仿宋_GB2312" w:eastAsia="仿宋_GB2312"/>
          <w:sz w:val="32"/>
          <w:szCs w:val="32"/>
        </w:rPr>
      </w:pPr>
      <w:r>
        <w:rPr>
          <w:rFonts w:hint="eastAsia" w:ascii="仿宋_GB2312" w:eastAsia="仿宋_GB2312"/>
          <w:sz w:val="32"/>
          <w:szCs w:val="32"/>
          <w:lang w:eastAsia="zh-CN"/>
        </w:rPr>
        <w:t>9.</w:t>
      </w:r>
      <w:r>
        <w:rPr>
          <w:rFonts w:hint="eastAsia" w:ascii="仿宋_GB2312" w:eastAsia="仿宋_GB2312"/>
          <w:sz w:val="32"/>
          <w:szCs w:val="32"/>
        </w:rPr>
        <w:t>领导和管理全县</w:t>
      </w:r>
      <w:r>
        <w:rPr>
          <w:rFonts w:hint="eastAsia" w:ascii="仿宋_GB2312" w:eastAsia="仿宋_GB2312"/>
          <w:sz w:val="32"/>
          <w:szCs w:val="32"/>
          <w:lang w:eastAsia="zh-CN"/>
        </w:rPr>
        <w:t>各乡镇</w:t>
      </w:r>
      <w:r>
        <w:rPr>
          <w:rFonts w:hint="eastAsia" w:ascii="仿宋_GB2312" w:eastAsia="仿宋_GB2312"/>
          <w:sz w:val="32"/>
          <w:szCs w:val="32"/>
        </w:rPr>
        <w:t>司法所</w:t>
      </w:r>
      <w:r>
        <w:rPr>
          <w:rFonts w:hint="eastAsia" w:ascii="仿宋_GB2312" w:eastAsia="仿宋_GB2312"/>
          <w:sz w:val="32"/>
          <w:szCs w:val="32"/>
          <w:lang w:eastAsia="zh-CN"/>
        </w:rPr>
        <w:t>，</w:t>
      </w:r>
      <w:r>
        <w:rPr>
          <w:rFonts w:hint="eastAsia" w:ascii="仿宋_GB2312" w:eastAsia="仿宋_GB2312"/>
          <w:sz w:val="32"/>
          <w:szCs w:val="32"/>
        </w:rPr>
        <w:t>紧紧围绕党委</w:t>
      </w:r>
      <w:r>
        <w:rPr>
          <w:rFonts w:hint="eastAsia" w:ascii="仿宋_GB2312" w:eastAsia="仿宋_GB2312"/>
          <w:sz w:val="32"/>
          <w:szCs w:val="32"/>
          <w:lang w:eastAsia="zh-CN"/>
        </w:rPr>
        <w:t>、县</w:t>
      </w:r>
      <w:r>
        <w:rPr>
          <w:rFonts w:hint="eastAsia" w:ascii="仿宋_GB2312" w:eastAsia="仿宋_GB2312"/>
          <w:sz w:val="32"/>
          <w:szCs w:val="32"/>
        </w:rPr>
        <w:t>政府的中心工作和政法工作重点</w:t>
      </w:r>
      <w:r>
        <w:rPr>
          <w:rFonts w:hint="eastAsia" w:ascii="仿宋_GB2312" w:eastAsia="仿宋_GB2312"/>
          <w:sz w:val="32"/>
          <w:szCs w:val="32"/>
          <w:lang w:eastAsia="zh-CN"/>
        </w:rPr>
        <w:t>，</w:t>
      </w:r>
      <w:r>
        <w:rPr>
          <w:rFonts w:hint="eastAsia" w:ascii="仿宋_GB2312" w:eastAsia="仿宋_GB2312"/>
          <w:sz w:val="32"/>
          <w:szCs w:val="32"/>
        </w:rPr>
        <w:t>履行好</w:t>
      </w:r>
      <w:r>
        <w:rPr>
          <w:rFonts w:hint="eastAsia" w:ascii="仿宋_GB2312" w:eastAsia="仿宋_GB2312"/>
          <w:sz w:val="32"/>
          <w:szCs w:val="32"/>
          <w:lang w:eastAsia="zh-CN"/>
        </w:rPr>
        <w:t>法治宣传教育，</w:t>
      </w:r>
      <w:r>
        <w:rPr>
          <w:rFonts w:hint="eastAsia" w:ascii="仿宋_GB2312" w:eastAsia="仿宋_GB2312"/>
          <w:sz w:val="32"/>
          <w:szCs w:val="32"/>
        </w:rPr>
        <w:t>法律服务和法律保障三大职能。</w:t>
      </w:r>
    </w:p>
    <w:p w14:paraId="7EFBE7ED">
      <w:pPr>
        <w:ind w:firstLine="640" w:firstLineChars="200"/>
        <w:rPr>
          <w:rFonts w:ascii="仿宋_GB2312" w:eastAsia="仿宋_GB2312"/>
          <w:sz w:val="32"/>
          <w:szCs w:val="32"/>
        </w:rPr>
      </w:pPr>
      <w:r>
        <w:rPr>
          <w:rFonts w:hint="eastAsia" w:ascii="仿宋_GB2312" w:eastAsia="仿宋_GB2312"/>
          <w:sz w:val="32"/>
          <w:szCs w:val="32"/>
          <w:lang w:eastAsia="zh-CN"/>
        </w:rPr>
        <w:t>10.</w:t>
      </w:r>
      <w:r>
        <w:rPr>
          <w:rFonts w:hint="eastAsia" w:ascii="仿宋_GB2312" w:eastAsia="仿宋_GB2312"/>
          <w:sz w:val="32"/>
          <w:szCs w:val="32"/>
        </w:rPr>
        <w:t>领导和管理全县法律援助中心、负责给刑事诉讼经济困难的犯罪嫌疑人和未成年人进行刑事</w:t>
      </w:r>
      <w:r>
        <w:rPr>
          <w:rFonts w:hint="eastAsia" w:ascii="仿宋_GB2312" w:eastAsia="仿宋_GB2312"/>
          <w:sz w:val="32"/>
          <w:szCs w:val="32"/>
          <w:lang w:eastAsia="zh-CN"/>
        </w:rPr>
        <w:t>辩护，</w:t>
      </w:r>
      <w:r>
        <w:rPr>
          <w:rFonts w:hint="eastAsia" w:ascii="仿宋_GB2312" w:eastAsia="仿宋_GB2312"/>
          <w:sz w:val="32"/>
          <w:szCs w:val="32"/>
        </w:rPr>
        <w:t>负责给孤寡老人、残疾人依法提供法律服务。</w:t>
      </w:r>
    </w:p>
    <w:p w14:paraId="20FD621D">
      <w:pPr>
        <w:ind w:firstLine="640" w:firstLineChars="200"/>
        <w:rPr>
          <w:rFonts w:ascii="仿宋_GB2312" w:eastAsia="仿宋_GB2312"/>
          <w:sz w:val="32"/>
          <w:szCs w:val="32"/>
        </w:rPr>
      </w:pPr>
      <w:r>
        <w:rPr>
          <w:rFonts w:hint="eastAsia" w:ascii="仿宋_GB2312" w:eastAsia="仿宋_GB2312"/>
          <w:sz w:val="32"/>
          <w:szCs w:val="32"/>
          <w:lang w:eastAsia="zh-CN"/>
        </w:rPr>
        <w:t>11.</w:t>
      </w:r>
      <w:r>
        <w:rPr>
          <w:rFonts w:hint="eastAsia" w:ascii="仿宋_GB2312" w:eastAsia="仿宋_GB2312"/>
          <w:sz w:val="32"/>
          <w:szCs w:val="32"/>
        </w:rPr>
        <w:t>指导全县法学教育工作和法学理论研究工作指导全县司法行政干部的培养工作。</w:t>
      </w:r>
    </w:p>
    <w:p w14:paraId="33A9C57B">
      <w:pPr>
        <w:ind w:firstLine="640" w:firstLineChars="200"/>
        <w:rPr>
          <w:rFonts w:ascii="仿宋_GB2312" w:eastAsia="仿宋_GB2312"/>
          <w:sz w:val="32"/>
          <w:szCs w:val="32"/>
        </w:rPr>
      </w:pPr>
      <w:r>
        <w:rPr>
          <w:rFonts w:hint="eastAsia" w:ascii="仿宋_GB2312" w:eastAsia="仿宋_GB2312"/>
          <w:sz w:val="32"/>
          <w:szCs w:val="32"/>
          <w:lang w:eastAsia="zh-CN"/>
        </w:rPr>
        <w:t>12.</w:t>
      </w:r>
      <w:r>
        <w:rPr>
          <w:rFonts w:hint="eastAsia" w:ascii="仿宋_GB2312" w:eastAsia="仿宋_GB2312"/>
          <w:sz w:val="32"/>
          <w:szCs w:val="32"/>
        </w:rPr>
        <w:t>负责自治县司法行政系统的警务管理和警务督察工作。</w:t>
      </w:r>
    </w:p>
    <w:p w14:paraId="1309DC73">
      <w:pPr>
        <w:ind w:firstLine="640" w:firstLineChars="200"/>
        <w:rPr>
          <w:rFonts w:ascii="仿宋_GB2312" w:eastAsia="仿宋_GB2312"/>
          <w:sz w:val="32"/>
          <w:szCs w:val="32"/>
        </w:rPr>
      </w:pPr>
      <w:r>
        <w:rPr>
          <w:rFonts w:hint="eastAsia" w:ascii="仿宋_GB2312" w:eastAsia="仿宋_GB2312"/>
          <w:sz w:val="32"/>
          <w:szCs w:val="32"/>
          <w:lang w:eastAsia="zh-CN"/>
        </w:rPr>
        <w:t>13.</w:t>
      </w:r>
      <w:r>
        <w:rPr>
          <w:rFonts w:hint="eastAsia" w:ascii="仿宋_GB2312" w:eastAsia="仿宋_GB2312"/>
          <w:sz w:val="32"/>
          <w:szCs w:val="32"/>
        </w:rPr>
        <w:t>承办自治县党委</w:t>
      </w:r>
      <w:r>
        <w:rPr>
          <w:rFonts w:hint="eastAsia" w:ascii="仿宋_GB2312" w:eastAsia="仿宋_GB2312"/>
          <w:sz w:val="32"/>
          <w:szCs w:val="32"/>
          <w:lang w:eastAsia="zh-CN"/>
        </w:rPr>
        <w:t>、县</w:t>
      </w:r>
      <w:r>
        <w:rPr>
          <w:rFonts w:hint="eastAsia" w:ascii="仿宋_GB2312" w:eastAsia="仿宋_GB2312"/>
          <w:sz w:val="32"/>
          <w:szCs w:val="32"/>
        </w:rPr>
        <w:t>政府交办的其他工作。</w:t>
      </w:r>
    </w:p>
    <w:p w14:paraId="7C5AD64E">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43DC66D2">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木垒哈萨克自治县司法局2023年度，实有人数</w:t>
      </w:r>
      <w:r>
        <w:rPr>
          <w:rFonts w:hint="eastAsia" w:ascii="仿宋_GB2312" w:eastAsia="仿宋_GB2312"/>
          <w:sz w:val="32"/>
          <w:szCs w:val="32"/>
          <w:lang w:val="zh-CN"/>
        </w:rPr>
        <w:t>50</w:t>
      </w:r>
      <w:r>
        <w:rPr>
          <w:rFonts w:hint="eastAsia" w:ascii="仿宋_GB2312" w:eastAsia="仿宋_GB2312"/>
          <w:sz w:val="32"/>
          <w:szCs w:val="32"/>
        </w:rPr>
        <w:t>人，其中：在职人员</w:t>
      </w:r>
      <w:r>
        <w:rPr>
          <w:rFonts w:hint="eastAsia" w:ascii="仿宋_GB2312" w:eastAsia="仿宋_GB2312"/>
          <w:sz w:val="32"/>
          <w:szCs w:val="32"/>
          <w:lang w:val="zh-CN"/>
        </w:rPr>
        <w:t>32</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18</w:t>
      </w:r>
      <w:r>
        <w:rPr>
          <w:rFonts w:hint="eastAsia" w:ascii="仿宋_GB2312" w:eastAsia="仿宋_GB2312"/>
          <w:sz w:val="32"/>
          <w:szCs w:val="32"/>
        </w:rPr>
        <w:t>人。</w:t>
      </w:r>
    </w:p>
    <w:p w14:paraId="6597B78C">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6</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办公室，法制股，社区矫正安置帮教股，法宣、基层股，公共法律服务工作股。</w:t>
      </w:r>
    </w:p>
    <w:p w14:paraId="28249E7D">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1FE0EF90">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13532C1A">
      <w:pPr>
        <w:ind w:firstLine="640" w:firstLineChars="200"/>
        <w:jc w:val="left"/>
        <w:rPr>
          <w:rFonts w:ascii="仿宋_GB2312" w:eastAsia="仿宋_GB2312"/>
          <w:sz w:val="32"/>
          <w:szCs w:val="32"/>
        </w:rPr>
      </w:pPr>
      <w:r>
        <w:rPr>
          <w:rFonts w:hint="eastAsia" w:ascii="仿宋_GB2312" w:eastAsia="仿宋_GB2312"/>
          <w:sz w:val="32"/>
          <w:szCs w:val="32"/>
        </w:rPr>
        <w:t>2023年度收入总计923.74万元，其中：本年收入合计923.74万元，使用非财政拨款结余0.00万元，年初结转和结余0.00万元。</w:t>
      </w:r>
    </w:p>
    <w:p w14:paraId="78CF8B2D">
      <w:pPr>
        <w:ind w:firstLine="640" w:firstLineChars="200"/>
        <w:jc w:val="left"/>
        <w:rPr>
          <w:rFonts w:ascii="仿宋_GB2312" w:eastAsia="仿宋_GB2312"/>
          <w:sz w:val="32"/>
          <w:szCs w:val="32"/>
        </w:rPr>
      </w:pPr>
      <w:r>
        <w:rPr>
          <w:rFonts w:hint="eastAsia" w:ascii="仿宋_GB2312" w:eastAsia="仿宋_GB2312"/>
          <w:sz w:val="32"/>
          <w:szCs w:val="32"/>
        </w:rPr>
        <w:t>2023年度支出总计923.74万元，其中：本年支出合计923.74万元，结余分配0.00万元，年末结转和结余0.00万元。</w:t>
      </w:r>
    </w:p>
    <w:p w14:paraId="4D1B4438">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增加97.88万元</w:t>
      </w:r>
      <w:r>
        <w:rPr>
          <w:rFonts w:hint="eastAsia" w:ascii="仿宋_GB2312" w:eastAsia="仿宋_GB2312"/>
          <w:sz w:val="32"/>
          <w:szCs w:val="32"/>
        </w:rPr>
        <w:t>，增长11.85%，主要原因是：单位人员薪资调增，工资、津补贴等人员经费增加。</w:t>
      </w:r>
    </w:p>
    <w:p w14:paraId="2A14F063">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0056C9DB">
      <w:pPr>
        <w:ind w:firstLine="640" w:firstLineChars="200"/>
        <w:jc w:val="left"/>
        <w:rPr>
          <w:rFonts w:ascii="仿宋_GB2312" w:eastAsia="仿宋_GB2312"/>
          <w:sz w:val="32"/>
          <w:szCs w:val="32"/>
        </w:rPr>
      </w:pPr>
      <w:r>
        <w:rPr>
          <w:rFonts w:hint="eastAsia" w:ascii="仿宋_GB2312" w:eastAsia="仿宋_GB2312"/>
          <w:sz w:val="32"/>
          <w:szCs w:val="32"/>
        </w:rPr>
        <w:t>本年收入923.74万元，其中：财政拨款收入</w:t>
      </w:r>
      <w:r>
        <w:rPr>
          <w:rFonts w:hint="eastAsia" w:ascii="仿宋_GB2312" w:eastAsia="仿宋_GB2312"/>
          <w:sz w:val="32"/>
          <w:szCs w:val="32"/>
          <w:lang w:val="zh-CN"/>
        </w:rPr>
        <w:t>923.74</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1C8A7967">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076029A8">
      <w:pPr>
        <w:ind w:firstLine="640" w:firstLineChars="200"/>
        <w:jc w:val="left"/>
        <w:rPr>
          <w:rFonts w:ascii="仿宋_GB2312" w:eastAsia="仿宋_GB2312"/>
          <w:sz w:val="32"/>
          <w:szCs w:val="32"/>
        </w:rPr>
      </w:pPr>
      <w:r>
        <w:rPr>
          <w:rFonts w:hint="eastAsia" w:ascii="仿宋_GB2312" w:eastAsia="仿宋_GB2312"/>
          <w:sz w:val="32"/>
          <w:szCs w:val="32"/>
        </w:rPr>
        <w:t>本年支出923.74万元，其中：基本支出795.74万元，占86.14%；项目支出128.00万元，占13.86%；上缴上级支出0.00万元，占0.00%；经营支出0.00万元，占0.00%；对附属单位补助支出0.00万元，占0.00%。</w:t>
      </w:r>
    </w:p>
    <w:p w14:paraId="0F2ACD9A">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781E4FEE">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923.74</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923.74</w:t>
      </w:r>
      <w:r>
        <w:rPr>
          <w:rFonts w:hint="eastAsia" w:ascii="仿宋_GB2312" w:eastAsia="仿宋_GB2312"/>
          <w:sz w:val="32"/>
          <w:szCs w:val="32"/>
        </w:rPr>
        <w:t>万元。财政拨款支出总计</w:t>
      </w:r>
      <w:r>
        <w:rPr>
          <w:rFonts w:hint="eastAsia" w:ascii="仿宋_GB2312" w:eastAsia="仿宋_GB2312"/>
          <w:sz w:val="32"/>
          <w:szCs w:val="32"/>
          <w:lang w:val="zh-CN"/>
        </w:rPr>
        <w:t>923.74</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923.74</w:t>
      </w:r>
      <w:r>
        <w:rPr>
          <w:rFonts w:hint="eastAsia" w:ascii="仿宋_GB2312" w:eastAsia="仿宋_GB2312"/>
          <w:sz w:val="32"/>
          <w:szCs w:val="32"/>
        </w:rPr>
        <w:t>万元。</w:t>
      </w:r>
    </w:p>
    <w:p w14:paraId="3DED4623">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增加97.88万元</w:t>
      </w:r>
      <w:r>
        <w:rPr>
          <w:rFonts w:hint="eastAsia" w:ascii="仿宋_GB2312" w:eastAsia="仿宋_GB2312"/>
          <w:sz w:val="32"/>
          <w:szCs w:val="32"/>
        </w:rPr>
        <w:t>，增长11.85%,主要原因是：单位人员薪资调增，工资、津补贴等人员经费增加。与年初预算相比，年初预算数</w:t>
      </w:r>
      <w:r>
        <w:rPr>
          <w:rFonts w:hint="eastAsia" w:ascii="仿宋_GB2312" w:eastAsia="仿宋_GB2312"/>
          <w:sz w:val="32"/>
          <w:szCs w:val="32"/>
          <w:lang w:val="zh-CN"/>
        </w:rPr>
        <w:t>860.83</w:t>
      </w:r>
      <w:r>
        <w:rPr>
          <w:rFonts w:hint="eastAsia" w:ascii="仿宋_GB2312" w:eastAsia="仿宋_GB2312"/>
          <w:sz w:val="32"/>
          <w:szCs w:val="32"/>
        </w:rPr>
        <w:t>万元，决算数</w:t>
      </w:r>
      <w:r>
        <w:rPr>
          <w:rFonts w:hint="eastAsia" w:ascii="仿宋_GB2312" w:eastAsia="仿宋_GB2312"/>
          <w:sz w:val="32"/>
          <w:szCs w:val="32"/>
          <w:lang w:val="zh-CN"/>
        </w:rPr>
        <w:t>923.74</w:t>
      </w:r>
      <w:r>
        <w:rPr>
          <w:rFonts w:hint="eastAsia" w:ascii="仿宋_GB2312" w:eastAsia="仿宋_GB2312"/>
          <w:sz w:val="32"/>
          <w:szCs w:val="32"/>
        </w:rPr>
        <w:t>万元，预决算差异率7.31%，主要原因是：年中追加人员工资、津补贴、社保等人员经费。</w:t>
      </w:r>
    </w:p>
    <w:p w14:paraId="52A87D1D">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24D4978E">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0AC6EA25">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2023年度一般公共预算财政拨款支出923.74万元，占本年支出合计的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增加97.88万元</w:t>
      </w:r>
      <w:r>
        <w:rPr>
          <w:rFonts w:hint="eastAsia" w:ascii="仿宋_GB2312" w:eastAsia="仿宋_GB2312"/>
          <w:sz w:val="32"/>
          <w:szCs w:val="32"/>
        </w:rPr>
        <w:t>，增长11.85%,主要原因是：单位人员薪资调增，工资、津补贴等人员经费增加。与年初预算相比，年初预算数</w:t>
      </w:r>
      <w:r>
        <w:rPr>
          <w:rFonts w:hint="eastAsia" w:ascii="仿宋_GB2312" w:eastAsia="仿宋_GB2312"/>
          <w:sz w:val="32"/>
          <w:szCs w:val="32"/>
          <w:lang w:val="zh-CN"/>
        </w:rPr>
        <w:t>860.83</w:t>
      </w:r>
      <w:r>
        <w:rPr>
          <w:rFonts w:hint="eastAsia" w:ascii="仿宋_GB2312" w:eastAsia="仿宋_GB2312"/>
          <w:sz w:val="32"/>
          <w:szCs w:val="32"/>
        </w:rPr>
        <w:t>万元，决算数</w:t>
      </w:r>
      <w:r>
        <w:rPr>
          <w:rFonts w:hint="eastAsia" w:ascii="仿宋_GB2312" w:eastAsia="仿宋_GB2312"/>
          <w:sz w:val="32"/>
          <w:szCs w:val="32"/>
          <w:lang w:val="zh-CN"/>
        </w:rPr>
        <w:t>923.74</w:t>
      </w:r>
      <w:r>
        <w:rPr>
          <w:rFonts w:hint="eastAsia" w:ascii="仿宋_GB2312" w:eastAsia="仿宋_GB2312"/>
          <w:sz w:val="32"/>
          <w:szCs w:val="32"/>
        </w:rPr>
        <w:t>万元，预决算差异率</w:t>
      </w:r>
      <w:r>
        <w:rPr>
          <w:rFonts w:hint="eastAsia" w:ascii="仿宋_GB2312" w:eastAsia="仿宋_GB2312"/>
          <w:sz w:val="32"/>
          <w:szCs w:val="32"/>
          <w:lang w:val="zh-CN"/>
        </w:rPr>
        <w:t>7.31%</w:t>
      </w:r>
      <w:r>
        <w:rPr>
          <w:rFonts w:hint="eastAsia" w:ascii="仿宋_GB2312" w:eastAsia="仿宋_GB2312"/>
          <w:sz w:val="32"/>
          <w:szCs w:val="32"/>
        </w:rPr>
        <w:t>，主要原因是：年中追加人员工资、津补贴、社保等人员经费。</w:t>
      </w:r>
    </w:p>
    <w:p w14:paraId="0C1152D4">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0FA34A23">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1.公共安全支出（类）</w:t>
      </w:r>
      <w:r>
        <w:rPr>
          <w:rFonts w:hint="eastAsia" w:ascii="仿宋_GB2312" w:eastAsia="仿宋_GB2312"/>
          <w:kern w:val="2"/>
          <w:sz w:val="32"/>
          <w:szCs w:val="32"/>
          <w:lang w:val="zh-CN"/>
        </w:rPr>
        <w:t>698.63</w:t>
      </w:r>
      <w:r>
        <w:rPr>
          <w:rFonts w:ascii="仿宋_GB2312" w:eastAsia="仿宋_GB2312"/>
          <w:kern w:val="2"/>
          <w:sz w:val="32"/>
          <w:szCs w:val="32"/>
          <w:lang w:val="zh-CN"/>
        </w:rPr>
        <w:t>万元，占</w:t>
      </w:r>
      <w:r>
        <w:rPr>
          <w:rFonts w:hint="eastAsia" w:ascii="仿宋_GB2312" w:eastAsia="仿宋_GB2312"/>
          <w:kern w:val="2"/>
          <w:sz w:val="32"/>
          <w:szCs w:val="32"/>
          <w:lang w:val="zh-CN"/>
        </w:rPr>
        <w:t>75.63</w:t>
      </w:r>
      <w:r>
        <w:rPr>
          <w:rFonts w:ascii="仿宋_GB2312" w:eastAsia="仿宋_GB2312"/>
          <w:kern w:val="2"/>
          <w:sz w:val="32"/>
          <w:szCs w:val="32"/>
          <w:lang w:val="zh-CN"/>
        </w:rPr>
        <w:t>%；</w:t>
      </w:r>
    </w:p>
    <w:p w14:paraId="065FE042">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2.社会保障和就业支出（类）</w:t>
      </w:r>
      <w:r>
        <w:rPr>
          <w:rFonts w:hint="eastAsia" w:ascii="仿宋_GB2312" w:eastAsia="仿宋_GB2312"/>
          <w:kern w:val="2"/>
          <w:sz w:val="32"/>
          <w:szCs w:val="32"/>
          <w:lang w:val="zh-CN"/>
        </w:rPr>
        <w:t>167.36</w:t>
      </w:r>
      <w:r>
        <w:rPr>
          <w:rFonts w:ascii="仿宋_GB2312" w:eastAsia="仿宋_GB2312"/>
          <w:kern w:val="2"/>
          <w:sz w:val="32"/>
          <w:szCs w:val="32"/>
          <w:lang w:val="zh-CN"/>
        </w:rPr>
        <w:t>万元，占</w:t>
      </w:r>
      <w:r>
        <w:rPr>
          <w:rFonts w:hint="eastAsia" w:ascii="仿宋_GB2312" w:eastAsia="仿宋_GB2312"/>
          <w:kern w:val="2"/>
          <w:sz w:val="32"/>
          <w:szCs w:val="32"/>
          <w:lang w:val="zh-CN"/>
        </w:rPr>
        <w:t>18.12</w:t>
      </w:r>
      <w:r>
        <w:rPr>
          <w:rFonts w:ascii="仿宋_GB2312" w:eastAsia="仿宋_GB2312"/>
          <w:kern w:val="2"/>
          <w:sz w:val="32"/>
          <w:szCs w:val="32"/>
          <w:lang w:val="zh-CN"/>
        </w:rPr>
        <w:t>%；</w:t>
      </w:r>
    </w:p>
    <w:p w14:paraId="272AF8A7">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3.住房保障支出（类）</w:t>
      </w:r>
      <w:r>
        <w:rPr>
          <w:rFonts w:hint="eastAsia" w:ascii="仿宋_GB2312" w:eastAsia="仿宋_GB2312"/>
          <w:kern w:val="2"/>
          <w:sz w:val="32"/>
          <w:szCs w:val="32"/>
          <w:lang w:val="zh-CN"/>
        </w:rPr>
        <w:t>41.45</w:t>
      </w:r>
      <w:r>
        <w:rPr>
          <w:rFonts w:ascii="仿宋_GB2312" w:eastAsia="仿宋_GB2312"/>
          <w:kern w:val="2"/>
          <w:sz w:val="32"/>
          <w:szCs w:val="32"/>
          <w:lang w:val="zh-CN"/>
        </w:rPr>
        <w:t>万元，占</w:t>
      </w:r>
      <w:r>
        <w:rPr>
          <w:rFonts w:hint="eastAsia" w:ascii="仿宋_GB2312" w:eastAsia="仿宋_GB2312"/>
          <w:kern w:val="2"/>
          <w:sz w:val="32"/>
          <w:szCs w:val="32"/>
          <w:lang w:val="zh-CN"/>
        </w:rPr>
        <w:t>4.49</w:t>
      </w:r>
      <w:r>
        <w:rPr>
          <w:rFonts w:ascii="仿宋_GB2312" w:eastAsia="仿宋_GB2312"/>
          <w:kern w:val="2"/>
          <w:sz w:val="32"/>
          <w:szCs w:val="32"/>
          <w:lang w:val="zh-CN"/>
        </w:rPr>
        <w:t>%；</w:t>
      </w:r>
    </w:p>
    <w:p w14:paraId="3691ECBF">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4.其他支出（类）</w:t>
      </w:r>
      <w:r>
        <w:rPr>
          <w:rFonts w:hint="eastAsia" w:ascii="仿宋_GB2312" w:eastAsia="仿宋_GB2312"/>
          <w:kern w:val="2"/>
          <w:sz w:val="32"/>
          <w:szCs w:val="32"/>
          <w:lang w:val="zh-CN"/>
        </w:rPr>
        <w:t>16.30</w:t>
      </w:r>
      <w:r>
        <w:rPr>
          <w:rFonts w:ascii="仿宋_GB2312" w:eastAsia="仿宋_GB2312"/>
          <w:kern w:val="2"/>
          <w:sz w:val="32"/>
          <w:szCs w:val="32"/>
          <w:lang w:val="zh-CN"/>
        </w:rPr>
        <w:t>万元，占</w:t>
      </w:r>
      <w:r>
        <w:rPr>
          <w:rFonts w:hint="eastAsia" w:ascii="仿宋_GB2312" w:eastAsia="仿宋_GB2312"/>
          <w:kern w:val="2"/>
          <w:sz w:val="32"/>
          <w:szCs w:val="32"/>
          <w:lang w:val="zh-CN"/>
        </w:rPr>
        <w:t>1.76</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17341935">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44B7B41C">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1.住房保障支出（类）住房改革支出（款）住房公积金（项）:支出决算数为41.45万元，比上年决算增加1.78万元，增长4.49%，主要原因是：单位</w:t>
      </w:r>
      <w:r>
        <w:rPr>
          <w:rFonts w:hint="eastAsia" w:ascii="仿宋_GB2312" w:eastAsia="仿宋_GB2312"/>
          <w:sz w:val="32"/>
          <w:szCs w:val="32"/>
          <w:lang w:val="en-US" w:eastAsia="zh-CN"/>
        </w:rPr>
        <w:t>本年人员工资调增</w:t>
      </w:r>
      <w:r>
        <w:rPr>
          <w:rFonts w:hint="eastAsia" w:ascii="仿宋_GB2312" w:eastAsia="仿宋_GB2312"/>
          <w:sz w:val="32"/>
          <w:szCs w:val="32"/>
        </w:rPr>
        <w:t>，人员公积金缴费增加。</w:t>
      </w:r>
    </w:p>
    <w:p w14:paraId="5685764E">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2.社会保障和就业支出（类）抚恤（款）死亡抚恤（项）:支出决算数为61.43万元，比上年决算增加61.43万元，增长100%，主要原因是：单位本年人员丧葬费、抚恤金补助较上年增加。</w:t>
      </w:r>
    </w:p>
    <w:p w14:paraId="591869E6">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3.社会保障和就业支出（类）行政事业单位养老支出（款）行政单位离退休（项）:支出决算数为4.85万元，比上年决算增加2.78万元，增长134.30%，主要原因是：本年退休人员增加，退休人员取暖费、交通补助费用增加。</w:t>
      </w:r>
    </w:p>
    <w:p w14:paraId="18A3750C">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4.公共安全支出（类）司法（款）行政运行（项）:支出决算数为570.63万元，比上年决算增加20.50万元，增长3.73%，主要原因是：单位人员薪资调增，工资、津补贴</w:t>
      </w:r>
      <w:r>
        <w:rPr>
          <w:rFonts w:hint="eastAsia" w:ascii="仿宋_GB2312" w:eastAsia="仿宋_GB2312"/>
          <w:sz w:val="32"/>
          <w:szCs w:val="32"/>
          <w:lang w:eastAsia="zh-CN"/>
        </w:rPr>
        <w:t>、</w:t>
      </w:r>
      <w:r>
        <w:rPr>
          <w:rFonts w:hint="eastAsia" w:ascii="仿宋_GB2312" w:eastAsia="仿宋_GB2312"/>
          <w:sz w:val="32"/>
          <w:szCs w:val="32"/>
          <w:lang w:val="en-US" w:eastAsia="zh-CN"/>
        </w:rPr>
        <w:t>奖金</w:t>
      </w:r>
      <w:r>
        <w:rPr>
          <w:rFonts w:hint="eastAsia" w:ascii="仿宋_GB2312" w:eastAsia="仿宋_GB2312"/>
          <w:sz w:val="32"/>
          <w:szCs w:val="32"/>
        </w:rPr>
        <w:t>等</w:t>
      </w:r>
      <w:r>
        <w:rPr>
          <w:rFonts w:hint="eastAsia" w:ascii="仿宋_GB2312" w:eastAsia="仿宋_GB2312"/>
          <w:sz w:val="32"/>
          <w:szCs w:val="32"/>
          <w:lang w:val="en-US" w:eastAsia="zh-CN"/>
        </w:rPr>
        <w:t>相关</w:t>
      </w:r>
      <w:r>
        <w:rPr>
          <w:rFonts w:hint="eastAsia" w:ascii="仿宋_GB2312" w:eastAsia="仿宋_GB2312"/>
          <w:sz w:val="32"/>
          <w:szCs w:val="32"/>
        </w:rPr>
        <w:t>人员经费增加。</w:t>
      </w:r>
    </w:p>
    <w:p w14:paraId="51CE14B1">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5.社会保障和就业支出（类）行政事业单位养老支出（款）机关事业单位职业年金缴费支出（项）:支出决算数为41.44万元，比上年决算增加36.28万元，增长703.10%，主要原因是：单位退休人员增加，人员职业年金缴费增加。</w:t>
      </w:r>
    </w:p>
    <w:p w14:paraId="69FCA124">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6.其他支出（类）其他支出（款）其他支出（项）:支出决算数为16.30万元，比上年决算减少1.01万元，下降5.83%，主要原因是：本年单位运转经费、办公经费等较上年减少。</w:t>
      </w:r>
    </w:p>
    <w:p w14:paraId="1BBECFED">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7.公共安全支出（类）司法（款）其他司法支出（项）:支出决算数为128.00万元，比上年决算减少25.00万元，下降16.34%，主要原因是：本年减少中央政法纪检监察转移支付</w:t>
      </w:r>
      <w:r>
        <w:rPr>
          <w:rFonts w:hint="eastAsia" w:ascii="仿宋_GB2312" w:eastAsia="仿宋_GB2312"/>
          <w:sz w:val="32"/>
          <w:szCs w:val="32"/>
          <w:lang w:val="en-US" w:eastAsia="zh-CN"/>
        </w:rPr>
        <w:t>项目</w:t>
      </w:r>
      <w:r>
        <w:rPr>
          <w:rFonts w:hint="eastAsia" w:ascii="仿宋_GB2312" w:eastAsia="仿宋_GB2312"/>
          <w:sz w:val="32"/>
          <w:szCs w:val="32"/>
        </w:rPr>
        <w:t>资金。</w:t>
      </w:r>
    </w:p>
    <w:p w14:paraId="023B7584">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8.社会保障和就业支出（类）行政事业单位养老支出（款）机关事业单位基本养老保险缴费支出（项）:支出决算数为59.64万元，比上年决算增加2.12万元，增长3.69%，主要原因是：单位人员薪资调增</w:t>
      </w:r>
      <w:r>
        <w:rPr>
          <w:rFonts w:hint="eastAsia" w:eastAsia="仿宋_GB2312"/>
          <w:sz w:val="32"/>
          <w:szCs w:val="32"/>
        </w:rPr>
        <w:t>，人员养老保险缴费增加</w:t>
      </w:r>
      <w:r>
        <w:rPr>
          <w:rFonts w:hint="eastAsia" w:ascii="仿宋_GB2312" w:eastAsia="仿宋_GB2312"/>
          <w:sz w:val="32"/>
          <w:szCs w:val="32"/>
        </w:rPr>
        <w:t>。</w:t>
      </w:r>
    </w:p>
    <w:p w14:paraId="3E180831">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9.公共安全支出（类）其他公共安全支出（款）其他公共安全支出（项）:支出决算数为0.00万元，比上年决算减少1.00万元，下降100%，主要原因是：</w:t>
      </w:r>
      <w:r>
        <w:rPr>
          <w:rFonts w:hint="eastAsia" w:ascii="仿宋_GB2312" w:eastAsia="仿宋_GB2312"/>
          <w:sz w:val="32"/>
          <w:szCs w:val="32"/>
          <w:lang w:val="zh-CN"/>
        </w:rPr>
        <w:t>本年减少</w:t>
      </w:r>
      <w:r>
        <w:rPr>
          <w:rFonts w:hint="eastAsia" w:ascii="仿宋_GB2312" w:eastAsia="仿宋_GB2312"/>
          <w:sz w:val="32"/>
          <w:szCs w:val="32"/>
        </w:rPr>
        <w:t>中央政法纪检监察转移支付</w:t>
      </w:r>
      <w:r>
        <w:rPr>
          <w:rFonts w:hint="eastAsia" w:ascii="仿宋_GB2312" w:eastAsia="仿宋_GB2312"/>
          <w:sz w:val="32"/>
          <w:szCs w:val="32"/>
          <w:lang w:val="en-US" w:eastAsia="zh-CN"/>
        </w:rPr>
        <w:t>项目</w:t>
      </w:r>
      <w:r>
        <w:rPr>
          <w:rFonts w:hint="eastAsia" w:ascii="仿宋_GB2312" w:eastAsia="仿宋_GB2312"/>
          <w:sz w:val="32"/>
          <w:szCs w:val="32"/>
        </w:rPr>
        <w:t>资金。</w:t>
      </w:r>
    </w:p>
    <w:p w14:paraId="3AFF2555">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6947FD13">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795.74万元，其中：人员经费751.44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14:paraId="09C4C1E2">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公用经费44.30万元，包括：办公费、水费、电费、邮电费、取暖费、劳务费、工会经费、公务用车运行维护费、其他商品和服务支出。</w:t>
      </w:r>
    </w:p>
    <w:p w14:paraId="5C4EB7DE">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52F0A56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“三公”经费支出3.52万元，</w:t>
      </w:r>
      <w:r>
        <w:rPr>
          <w:rFonts w:hint="eastAsia" w:ascii="仿宋_GB2312" w:eastAsia="仿宋_GB2312"/>
          <w:sz w:val="32"/>
          <w:szCs w:val="32"/>
        </w:rPr>
        <w:t>比上年</w:t>
      </w:r>
      <w:r>
        <w:rPr>
          <w:rFonts w:hint="eastAsia" w:ascii="仿宋_GB2312" w:eastAsia="仿宋_GB2312"/>
          <w:sz w:val="32"/>
          <w:szCs w:val="32"/>
          <w:lang w:val="zh-CN"/>
        </w:rPr>
        <w:t>减少0.43万元，</w:t>
      </w:r>
      <w:r>
        <w:rPr>
          <w:rFonts w:hint="eastAsia" w:ascii="仿宋_GB2312" w:eastAsia="仿宋_GB2312"/>
          <w:sz w:val="32"/>
          <w:szCs w:val="32"/>
        </w:rPr>
        <w:t>下降10.89%,</w:t>
      </w:r>
      <w:r>
        <w:rPr>
          <w:rFonts w:hint="eastAsia" w:ascii="仿宋_GB2312" w:eastAsia="仿宋_GB2312"/>
          <w:sz w:val="32"/>
          <w:szCs w:val="32"/>
          <w:lang w:val="zh-CN"/>
        </w:rPr>
        <w:t>主要原因是：车辆减少出行，维修费、燃油费等减少。其中：因公出国（境）费支出0.00万元，占0.00%，比上年增加0.00万元，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主要原因是：本年无此项经费；公务用车购置及运行维护费支出3.52万元，占100.00%，比上年减少0.43万元，</w:t>
      </w:r>
      <w:r>
        <w:rPr>
          <w:rFonts w:hint="eastAsia" w:ascii="仿宋_GB2312" w:eastAsia="仿宋_GB2312"/>
          <w:sz w:val="32"/>
          <w:szCs w:val="32"/>
        </w:rPr>
        <w:t>下降10.89%,</w:t>
      </w:r>
      <w:r>
        <w:rPr>
          <w:rFonts w:hint="eastAsia" w:ascii="仿宋_GB2312" w:eastAsia="仿宋_GB2312"/>
          <w:sz w:val="32"/>
          <w:szCs w:val="32"/>
          <w:lang w:val="zh-CN"/>
        </w:rPr>
        <w:t>主要原因是：车辆减少出行，维修费、燃油费等减少；公务接待费支出0.00万元，占0.00%，比上年增加0.00万元，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w:t>
      </w:r>
    </w:p>
    <w:p w14:paraId="75062D8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090D1DA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因公出国（境）费支出0.00万元，开支内容包括本年无此项经费。单位全年安排的因公出国（境）团组0个，因公出国（境）0人次。</w:t>
      </w:r>
    </w:p>
    <w:p w14:paraId="5736B348">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公务用车购置及运行维护费3.52万元，其中：公务用车购置费0.00万元，公务用车运行维护费3.52万元。公务用车运行维护费开支内容包括</w:t>
      </w:r>
      <w:r>
        <w:rPr>
          <w:rFonts w:hint="eastAsia" w:ascii="仿宋_GB2312" w:eastAsia="仿宋_GB2312" w:cs="仿宋_GB2312"/>
          <w:kern w:val="0"/>
          <w:sz w:val="32"/>
          <w:szCs w:val="32"/>
        </w:rPr>
        <w:t>公务用车燃油费、车辆维修维护费、保险费、过路费等</w:t>
      </w:r>
      <w:r>
        <w:rPr>
          <w:rFonts w:hint="eastAsia" w:ascii="仿宋_GB2312" w:eastAsia="仿宋_GB2312"/>
          <w:sz w:val="32"/>
          <w:szCs w:val="32"/>
          <w:lang w:val="zh-CN"/>
        </w:rPr>
        <w:t>。公务用车购置数0辆，公务用车保有量3辆。国有资产占用情况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3辆，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原因是：国有资产车辆与公务用车保有量无差异。</w:t>
      </w:r>
    </w:p>
    <w:p w14:paraId="6888AC6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公务接待费0.00万元，开支内容包括本年无此项经费。单位全年安排的国内公务接待0批次，0人次。</w:t>
      </w:r>
    </w:p>
    <w:p w14:paraId="5E4B67D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预算数3.52万元，决算数3.52万元，预决算差异率0.00%，主要原因是：本年严格按年初预算执行“三公”经费，预决算对比无差异。其中：因公出国（境）费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预算数3.52万元，决算数3.52万元，预决算差异率0.00%，主要原因是：本年严格按年初预算执行“三公”经费，预决算对比无差异；公务接待费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w:t>
      </w:r>
    </w:p>
    <w:p w14:paraId="0DDBEE04">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4946BE6F">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3A047DE5">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595E7E4D">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19202E16">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0294BADE">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1ED184F5">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2023年度木垒哈萨克自治县司法局（行政单位和参照公务员法管理事业单位）机关运行经费支出44.30万元，比上年增加22.06万元，增长99.19%，主要原因是：本年单位水电费、取暖费、劳务费等较上年增加。</w:t>
      </w:r>
    </w:p>
    <w:p w14:paraId="66E66838">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30392C8C">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2023年度政府采购支出总额41.03万元，其中：政府采购货物支出18.90万元、政府采购工程支出7.53万元、政府采购服务支出14.60万元。</w:t>
      </w:r>
    </w:p>
    <w:p w14:paraId="1C6EC889">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授予中小企业合同金额38.63万元，占政府采购支出总额的94.15</w:t>
      </w:r>
      <w:r>
        <w:rPr>
          <w:rFonts w:ascii="仿宋_GB2312" w:eastAsia="仿宋_GB2312"/>
          <w:sz w:val="32"/>
          <w:szCs w:val="32"/>
        </w:rPr>
        <w:t>%</w:t>
      </w:r>
      <w:r>
        <w:rPr>
          <w:rFonts w:hint="eastAsia" w:ascii="仿宋_GB2312" w:eastAsia="仿宋_GB2312"/>
          <w:sz w:val="32"/>
          <w:szCs w:val="32"/>
        </w:rPr>
        <w:t>，其中：授予小微企业合同金额38.63万元，占政府采购支出总额的94.15</w:t>
      </w:r>
      <w:r>
        <w:rPr>
          <w:rFonts w:ascii="仿宋_GB2312" w:eastAsia="仿宋_GB2312"/>
          <w:sz w:val="32"/>
          <w:szCs w:val="32"/>
        </w:rPr>
        <w:t>%</w:t>
      </w:r>
      <w:r>
        <w:rPr>
          <w:rFonts w:hint="eastAsia" w:ascii="仿宋_GB2312" w:eastAsia="仿宋_GB2312"/>
          <w:sz w:val="32"/>
          <w:szCs w:val="32"/>
        </w:rPr>
        <w:t>。</w:t>
      </w:r>
    </w:p>
    <w:p w14:paraId="610FE2CB">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397C7A56">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截至2023年12月31日，固定资产原值678.98万元，房屋2</w:t>
      </w:r>
      <w:r>
        <w:rPr>
          <w:rFonts w:ascii="仿宋_GB2312" w:eastAsia="仿宋_GB2312"/>
          <w:sz w:val="32"/>
          <w:szCs w:val="32"/>
        </w:rPr>
        <w:t>,</w:t>
      </w:r>
      <w:r>
        <w:rPr>
          <w:rFonts w:hint="eastAsia" w:ascii="仿宋_GB2312" w:eastAsia="仿宋_GB2312"/>
          <w:sz w:val="32"/>
          <w:szCs w:val="32"/>
        </w:rPr>
        <w:t>044.0</w:t>
      </w:r>
      <w:r>
        <w:rPr>
          <w:rFonts w:ascii="仿宋_GB2312" w:eastAsia="仿宋_GB2312"/>
          <w:sz w:val="32"/>
          <w:szCs w:val="32"/>
        </w:rPr>
        <w:t>0</w:t>
      </w:r>
      <w:r>
        <w:rPr>
          <w:rFonts w:hint="eastAsia" w:ascii="仿宋_GB2312" w:eastAsia="仿宋_GB2312"/>
          <w:sz w:val="32"/>
          <w:szCs w:val="32"/>
        </w:rPr>
        <w:t>平方米，价值431.96万元。车辆3辆，价值51.67万元，其中：副部（省）级及以上领导用车0辆、主要负责人用车0辆、机要通信用车0辆、应急保障用车0辆、执法执勤用车2辆、特种专业技术用车0辆、离退休干部服务用车0辆、其他用车1辆，其他用车主要是：单位业务用车；单价100万元（含）以上设备（不含车辆）0台（套）。</w:t>
      </w:r>
    </w:p>
    <w:p w14:paraId="776E00FE">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5229029D">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923.74</w:t>
      </w:r>
      <w:r>
        <w:rPr>
          <w:rFonts w:hint="eastAsia" w:ascii="仿宋_GB2312" w:eastAsia="仿宋_GB2312"/>
          <w:sz w:val="32"/>
          <w:szCs w:val="32"/>
        </w:rPr>
        <w:t>万元，实际执行总额</w:t>
      </w:r>
      <w:r>
        <w:rPr>
          <w:rFonts w:ascii="仿宋_GB2312" w:eastAsia="仿宋_GB2312"/>
          <w:sz w:val="32"/>
          <w:szCs w:val="32"/>
        </w:rPr>
        <w:t>923.74</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预算绩效评价项目1个，全年预算数1</w:t>
      </w:r>
      <w:r>
        <w:rPr>
          <w:rFonts w:ascii="仿宋_GB2312" w:eastAsia="仿宋_GB2312"/>
          <w:sz w:val="32"/>
          <w:szCs w:val="32"/>
        </w:rPr>
        <w:t>28.00</w:t>
      </w:r>
      <w:r>
        <w:rPr>
          <w:rFonts w:hint="eastAsia" w:ascii="仿宋_GB2312" w:eastAsia="仿宋_GB2312"/>
          <w:sz w:val="32"/>
          <w:szCs w:val="32"/>
        </w:rPr>
        <w:t>万元，全年执行数1</w:t>
      </w:r>
      <w:r>
        <w:rPr>
          <w:rFonts w:ascii="仿宋_GB2312" w:eastAsia="仿宋_GB2312"/>
          <w:sz w:val="32"/>
          <w:szCs w:val="32"/>
        </w:rPr>
        <w:t>28.00</w:t>
      </w:r>
      <w:r>
        <w:rPr>
          <w:rFonts w:hint="eastAsia" w:ascii="仿宋_GB2312" w:eastAsia="仿宋_GB2312"/>
          <w:sz w:val="32"/>
          <w:szCs w:val="32"/>
        </w:rPr>
        <w:t>万元。预算绩效管理取得的成效：</w:t>
      </w:r>
      <w:r>
        <w:rPr>
          <w:rFonts w:hint="eastAsia" w:ascii="仿宋_GB2312" w:eastAsia="仿宋_GB2312"/>
          <w:sz w:val="32"/>
          <w:szCs w:val="32"/>
          <w:lang w:val="en-US" w:eastAsia="zh-CN"/>
        </w:rPr>
        <w:t>我单位预算绩效项目自评表不予公开</w:t>
      </w:r>
      <w:r>
        <w:rPr>
          <w:rFonts w:hint="eastAsia" w:ascii="仿宋_GB2312" w:eastAsia="仿宋_GB2312"/>
          <w:sz w:val="32"/>
          <w:szCs w:val="32"/>
        </w:rPr>
        <w:t>。发现的问题及原因：</w:t>
      </w:r>
      <w:r>
        <w:rPr>
          <w:rFonts w:hint="eastAsia" w:ascii="仿宋_GB2312" w:eastAsia="仿宋_GB2312"/>
          <w:sz w:val="32"/>
          <w:szCs w:val="32"/>
          <w:lang w:val="en-US" w:eastAsia="zh-CN"/>
        </w:rPr>
        <w:t>我单位预算绩效项目自评表不予公开</w:t>
      </w:r>
      <w:r>
        <w:rPr>
          <w:rFonts w:hint="eastAsia" w:ascii="仿宋_GB2312" w:eastAsia="仿宋_GB2312"/>
          <w:sz w:val="32"/>
          <w:szCs w:val="32"/>
        </w:rPr>
        <w:t>。下一步改进措施：</w:t>
      </w:r>
      <w:r>
        <w:rPr>
          <w:rFonts w:hint="eastAsia" w:ascii="仿宋_GB2312" w:eastAsia="仿宋_GB2312"/>
          <w:sz w:val="32"/>
          <w:szCs w:val="32"/>
          <w:lang w:val="en-US" w:eastAsia="zh-CN"/>
        </w:rPr>
        <w:t>我单位预算绩效项目自评表不予公开</w:t>
      </w:r>
      <w:r>
        <w:rPr>
          <w:rFonts w:hint="eastAsia" w:ascii="仿宋_GB2312" w:eastAsia="仿宋_GB2312"/>
          <w:sz w:val="32"/>
          <w:szCs w:val="32"/>
        </w:rPr>
        <w:t>。</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0"/>
        <w:gridCol w:w="913"/>
        <w:gridCol w:w="1199"/>
        <w:gridCol w:w="992"/>
        <w:gridCol w:w="1276"/>
        <w:gridCol w:w="1275"/>
        <w:gridCol w:w="993"/>
        <w:gridCol w:w="1184"/>
      </w:tblGrid>
      <w:tr w14:paraId="2565C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522" w:type="dxa"/>
            <w:gridSpan w:val="8"/>
            <w:shd w:val="clear" w:color="auto" w:fill="auto"/>
            <w:noWrap/>
            <w:vAlign w:val="center"/>
          </w:tcPr>
          <w:p w14:paraId="0A562212">
            <w:pPr>
              <w:widowControl/>
              <w:jc w:val="center"/>
              <w:rPr>
                <w:rFonts w:hint="eastAsia" w:cs="宋体" w:asciiTheme="minorEastAsia" w:hAnsiTheme="minorEastAsia" w:eastAsiaTheme="minorEastAsia"/>
                <w:b/>
                <w:bCs/>
                <w:kern w:val="0"/>
                <w:sz w:val="32"/>
                <w:szCs w:val="32"/>
              </w:rPr>
            </w:pPr>
            <w:r>
              <w:rPr>
                <w:rFonts w:hint="eastAsia" w:cs="宋体" w:asciiTheme="minorEastAsia" w:hAnsiTheme="minorEastAsia" w:eastAsiaTheme="minorEastAsia"/>
                <w:b w:val="0"/>
                <w:bCs w:val="0"/>
                <w:kern w:val="0"/>
                <w:sz w:val="32"/>
                <w:szCs w:val="32"/>
              </w:rPr>
              <w:t>部门（单位）整体支出绩效目标自评表</w:t>
            </w:r>
          </w:p>
        </w:tc>
      </w:tr>
      <w:tr w14:paraId="3218D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522" w:type="dxa"/>
            <w:gridSpan w:val="8"/>
            <w:shd w:val="clear" w:color="auto" w:fill="auto"/>
            <w:noWrap/>
            <w:vAlign w:val="center"/>
          </w:tcPr>
          <w:p w14:paraId="4CCEBC41">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（2023年度）</w:t>
            </w:r>
          </w:p>
        </w:tc>
      </w:tr>
      <w:tr w14:paraId="4239B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690" w:type="dxa"/>
            <w:shd w:val="clear" w:color="auto" w:fill="auto"/>
            <w:noWrap/>
            <w:vAlign w:val="center"/>
          </w:tcPr>
          <w:p w14:paraId="7DC122F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部门（单位）名称</w:t>
            </w:r>
          </w:p>
        </w:tc>
        <w:tc>
          <w:tcPr>
            <w:tcW w:w="7832" w:type="dxa"/>
            <w:gridSpan w:val="7"/>
            <w:shd w:val="clear" w:color="auto" w:fill="auto"/>
            <w:noWrap/>
            <w:vAlign w:val="center"/>
          </w:tcPr>
          <w:p w14:paraId="75686D6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lang w:eastAsia="zh-CN"/>
              </w:rPr>
              <w:t>木垒哈萨克自治县</w:t>
            </w:r>
            <w:r>
              <w:rPr>
                <w:rFonts w:hint="eastAsia" w:cs="宋体" w:asciiTheme="minorEastAsia" w:hAnsiTheme="minorEastAsia" w:eastAsiaTheme="minorEastAsia"/>
                <w:bCs/>
                <w:kern w:val="0"/>
                <w:sz w:val="20"/>
                <w:szCs w:val="20"/>
              </w:rPr>
              <w:t>司法局</w:t>
            </w:r>
          </w:p>
        </w:tc>
      </w:tr>
      <w:tr w14:paraId="68DFD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690" w:type="dxa"/>
            <w:vMerge w:val="restart"/>
            <w:shd w:val="clear" w:color="auto" w:fill="auto"/>
            <w:vAlign w:val="center"/>
          </w:tcPr>
          <w:p w14:paraId="3B321A37">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部门资金（万元）</w:t>
            </w:r>
          </w:p>
        </w:tc>
        <w:tc>
          <w:tcPr>
            <w:tcW w:w="913" w:type="dxa"/>
            <w:shd w:val="clear" w:color="auto" w:fill="auto"/>
            <w:vAlign w:val="center"/>
          </w:tcPr>
          <w:p w14:paraId="0C248B8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资金来源</w:t>
            </w:r>
          </w:p>
        </w:tc>
        <w:tc>
          <w:tcPr>
            <w:tcW w:w="1199" w:type="dxa"/>
            <w:shd w:val="clear" w:color="auto" w:fill="auto"/>
            <w:vAlign w:val="center"/>
          </w:tcPr>
          <w:p w14:paraId="710A2BF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年初预算数</w:t>
            </w:r>
          </w:p>
        </w:tc>
        <w:tc>
          <w:tcPr>
            <w:tcW w:w="992" w:type="dxa"/>
            <w:shd w:val="clear" w:color="auto" w:fill="auto"/>
            <w:vAlign w:val="center"/>
          </w:tcPr>
          <w:p w14:paraId="2E46503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全年预算数</w:t>
            </w:r>
          </w:p>
        </w:tc>
        <w:tc>
          <w:tcPr>
            <w:tcW w:w="1276" w:type="dxa"/>
            <w:shd w:val="clear" w:color="auto" w:fill="auto"/>
            <w:vAlign w:val="center"/>
          </w:tcPr>
          <w:p w14:paraId="5A81315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全年执行数</w:t>
            </w:r>
          </w:p>
        </w:tc>
        <w:tc>
          <w:tcPr>
            <w:tcW w:w="1275" w:type="dxa"/>
            <w:shd w:val="clear" w:color="auto" w:fill="auto"/>
            <w:vAlign w:val="center"/>
          </w:tcPr>
          <w:p w14:paraId="294FAAA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993" w:type="dxa"/>
            <w:shd w:val="clear" w:color="auto" w:fill="auto"/>
            <w:vAlign w:val="center"/>
          </w:tcPr>
          <w:p w14:paraId="7051C74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执行率</w:t>
            </w:r>
          </w:p>
        </w:tc>
        <w:tc>
          <w:tcPr>
            <w:tcW w:w="1184" w:type="dxa"/>
            <w:shd w:val="clear" w:color="auto" w:fill="auto"/>
            <w:vAlign w:val="center"/>
          </w:tcPr>
          <w:p w14:paraId="0C56614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14:paraId="0C59A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90" w:type="dxa"/>
            <w:vMerge w:val="continue"/>
            <w:vAlign w:val="center"/>
          </w:tcPr>
          <w:p w14:paraId="6DA946D8">
            <w:pPr>
              <w:widowControl/>
              <w:jc w:val="left"/>
              <w:rPr>
                <w:rFonts w:hint="eastAsia" w:cs="宋体" w:asciiTheme="minorEastAsia" w:hAnsiTheme="minorEastAsia" w:eastAsiaTheme="minorEastAsia"/>
                <w:bCs/>
                <w:kern w:val="0"/>
                <w:sz w:val="20"/>
                <w:szCs w:val="20"/>
              </w:rPr>
            </w:pPr>
          </w:p>
        </w:tc>
        <w:tc>
          <w:tcPr>
            <w:tcW w:w="913" w:type="dxa"/>
            <w:shd w:val="clear" w:color="auto" w:fill="auto"/>
            <w:noWrap/>
            <w:vAlign w:val="center"/>
          </w:tcPr>
          <w:p w14:paraId="120FAF27">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中央安排</w:t>
            </w:r>
          </w:p>
        </w:tc>
        <w:tc>
          <w:tcPr>
            <w:tcW w:w="1199" w:type="dxa"/>
            <w:shd w:val="clear" w:color="auto" w:fill="auto"/>
            <w:vAlign w:val="center"/>
          </w:tcPr>
          <w:p w14:paraId="7EBF272F">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992" w:type="dxa"/>
            <w:shd w:val="clear" w:color="auto" w:fill="auto"/>
            <w:vAlign w:val="center"/>
          </w:tcPr>
          <w:p w14:paraId="064F22E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128</w:t>
            </w:r>
            <w:r>
              <w:rPr>
                <w:rFonts w:cs="宋体" w:asciiTheme="minorEastAsia" w:hAnsiTheme="minorEastAsia" w:eastAsiaTheme="minorEastAsia"/>
                <w:bCs/>
                <w:kern w:val="0"/>
                <w:sz w:val="20"/>
                <w:szCs w:val="20"/>
              </w:rPr>
              <w:t>.00</w:t>
            </w:r>
          </w:p>
        </w:tc>
        <w:tc>
          <w:tcPr>
            <w:tcW w:w="1276" w:type="dxa"/>
            <w:shd w:val="clear" w:color="auto" w:fill="auto"/>
            <w:vAlign w:val="center"/>
          </w:tcPr>
          <w:p w14:paraId="24F994F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128</w:t>
            </w:r>
            <w:r>
              <w:rPr>
                <w:rFonts w:cs="宋体" w:asciiTheme="minorEastAsia" w:hAnsiTheme="minorEastAsia" w:eastAsiaTheme="minorEastAsia"/>
                <w:bCs/>
                <w:kern w:val="0"/>
                <w:sz w:val="20"/>
                <w:szCs w:val="20"/>
              </w:rPr>
              <w:t>.00</w:t>
            </w:r>
          </w:p>
        </w:tc>
        <w:tc>
          <w:tcPr>
            <w:tcW w:w="1275" w:type="dxa"/>
            <w:shd w:val="clear" w:color="auto" w:fill="auto"/>
            <w:vAlign w:val="center"/>
          </w:tcPr>
          <w:p w14:paraId="15D473F1">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c>
          <w:tcPr>
            <w:tcW w:w="993" w:type="dxa"/>
            <w:shd w:val="clear" w:color="auto" w:fill="auto"/>
            <w:vAlign w:val="center"/>
          </w:tcPr>
          <w:p w14:paraId="12709E7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100%</w:t>
            </w:r>
          </w:p>
        </w:tc>
        <w:tc>
          <w:tcPr>
            <w:tcW w:w="1184" w:type="dxa"/>
            <w:shd w:val="clear" w:color="auto" w:fill="auto"/>
            <w:vAlign w:val="center"/>
          </w:tcPr>
          <w:p w14:paraId="057C4B1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r>
      <w:tr w14:paraId="1B1C1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90" w:type="dxa"/>
            <w:vMerge w:val="continue"/>
            <w:vAlign w:val="center"/>
          </w:tcPr>
          <w:p w14:paraId="668D9D2C">
            <w:pPr>
              <w:widowControl/>
              <w:jc w:val="left"/>
              <w:rPr>
                <w:rFonts w:hint="eastAsia" w:cs="宋体" w:asciiTheme="minorEastAsia" w:hAnsiTheme="minorEastAsia" w:eastAsiaTheme="minorEastAsia"/>
                <w:bCs/>
                <w:kern w:val="0"/>
                <w:sz w:val="20"/>
                <w:szCs w:val="20"/>
              </w:rPr>
            </w:pPr>
          </w:p>
        </w:tc>
        <w:tc>
          <w:tcPr>
            <w:tcW w:w="913" w:type="dxa"/>
            <w:shd w:val="clear" w:color="auto" w:fill="auto"/>
            <w:vAlign w:val="center"/>
          </w:tcPr>
          <w:p w14:paraId="61D3972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自治区安排</w:t>
            </w:r>
          </w:p>
        </w:tc>
        <w:tc>
          <w:tcPr>
            <w:tcW w:w="1199" w:type="dxa"/>
            <w:shd w:val="clear" w:color="auto" w:fill="auto"/>
            <w:vAlign w:val="center"/>
          </w:tcPr>
          <w:p w14:paraId="0D5A5171">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114</w:t>
            </w:r>
            <w:r>
              <w:rPr>
                <w:rFonts w:cs="宋体" w:asciiTheme="minorEastAsia" w:hAnsiTheme="minorEastAsia" w:eastAsiaTheme="minorEastAsia"/>
                <w:bCs/>
                <w:kern w:val="0"/>
                <w:sz w:val="20"/>
                <w:szCs w:val="20"/>
              </w:rPr>
              <w:t>.00</w:t>
            </w:r>
          </w:p>
        </w:tc>
        <w:tc>
          <w:tcPr>
            <w:tcW w:w="992" w:type="dxa"/>
            <w:shd w:val="clear" w:color="auto" w:fill="auto"/>
            <w:vAlign w:val="center"/>
          </w:tcPr>
          <w:p w14:paraId="5CF31E36">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1276" w:type="dxa"/>
            <w:shd w:val="clear" w:color="auto" w:fill="auto"/>
            <w:vAlign w:val="center"/>
          </w:tcPr>
          <w:p w14:paraId="75DAE65D">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1275" w:type="dxa"/>
            <w:shd w:val="clear" w:color="auto" w:fill="auto"/>
            <w:vAlign w:val="center"/>
          </w:tcPr>
          <w:p w14:paraId="69C47B7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993" w:type="dxa"/>
            <w:shd w:val="clear" w:color="auto" w:fill="auto"/>
            <w:vAlign w:val="center"/>
          </w:tcPr>
          <w:p w14:paraId="31C0690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184" w:type="dxa"/>
            <w:shd w:val="clear" w:color="auto" w:fill="auto"/>
            <w:vAlign w:val="center"/>
          </w:tcPr>
          <w:p w14:paraId="3D8B111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52DD6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90" w:type="dxa"/>
            <w:vMerge w:val="continue"/>
            <w:vAlign w:val="center"/>
          </w:tcPr>
          <w:p w14:paraId="207FAAE8">
            <w:pPr>
              <w:widowControl/>
              <w:jc w:val="left"/>
              <w:rPr>
                <w:rFonts w:hint="eastAsia" w:cs="宋体" w:asciiTheme="minorEastAsia" w:hAnsiTheme="minorEastAsia" w:eastAsiaTheme="minorEastAsia"/>
                <w:bCs/>
                <w:kern w:val="0"/>
                <w:sz w:val="20"/>
                <w:szCs w:val="20"/>
              </w:rPr>
            </w:pPr>
          </w:p>
        </w:tc>
        <w:tc>
          <w:tcPr>
            <w:tcW w:w="913" w:type="dxa"/>
            <w:shd w:val="clear" w:color="auto" w:fill="auto"/>
            <w:vAlign w:val="center"/>
          </w:tcPr>
          <w:p w14:paraId="5CCC58C7">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地（州、市）安排</w:t>
            </w:r>
          </w:p>
        </w:tc>
        <w:tc>
          <w:tcPr>
            <w:tcW w:w="1199" w:type="dxa"/>
            <w:shd w:val="clear" w:color="auto" w:fill="auto"/>
            <w:vAlign w:val="center"/>
          </w:tcPr>
          <w:p w14:paraId="2676A39C">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992" w:type="dxa"/>
            <w:shd w:val="clear" w:color="auto" w:fill="auto"/>
            <w:vAlign w:val="center"/>
          </w:tcPr>
          <w:p w14:paraId="306F5EEE">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1276" w:type="dxa"/>
            <w:shd w:val="clear" w:color="auto" w:fill="auto"/>
            <w:vAlign w:val="center"/>
          </w:tcPr>
          <w:p w14:paraId="3B99A056">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1275" w:type="dxa"/>
            <w:shd w:val="clear" w:color="auto" w:fill="auto"/>
            <w:vAlign w:val="center"/>
          </w:tcPr>
          <w:p w14:paraId="0FA8CED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993" w:type="dxa"/>
            <w:shd w:val="clear" w:color="auto" w:fill="auto"/>
            <w:vAlign w:val="center"/>
          </w:tcPr>
          <w:p w14:paraId="5A1418D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184" w:type="dxa"/>
            <w:shd w:val="clear" w:color="auto" w:fill="auto"/>
            <w:vAlign w:val="center"/>
          </w:tcPr>
          <w:p w14:paraId="500B0C2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56CF2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90" w:type="dxa"/>
            <w:vMerge w:val="continue"/>
            <w:vAlign w:val="center"/>
          </w:tcPr>
          <w:p w14:paraId="13E467BC">
            <w:pPr>
              <w:widowControl/>
              <w:jc w:val="left"/>
              <w:rPr>
                <w:rFonts w:hint="eastAsia" w:cs="宋体" w:asciiTheme="minorEastAsia" w:hAnsiTheme="minorEastAsia" w:eastAsiaTheme="minorEastAsia"/>
                <w:bCs/>
                <w:kern w:val="0"/>
                <w:sz w:val="20"/>
                <w:szCs w:val="20"/>
              </w:rPr>
            </w:pPr>
          </w:p>
        </w:tc>
        <w:tc>
          <w:tcPr>
            <w:tcW w:w="913" w:type="dxa"/>
            <w:shd w:val="clear" w:color="auto" w:fill="auto"/>
            <w:vAlign w:val="center"/>
          </w:tcPr>
          <w:p w14:paraId="3C6C653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县（市、区）安排</w:t>
            </w:r>
          </w:p>
        </w:tc>
        <w:tc>
          <w:tcPr>
            <w:tcW w:w="1199" w:type="dxa"/>
            <w:shd w:val="clear" w:color="auto" w:fill="auto"/>
            <w:vAlign w:val="center"/>
          </w:tcPr>
          <w:p w14:paraId="257411F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746.83</w:t>
            </w:r>
          </w:p>
        </w:tc>
        <w:tc>
          <w:tcPr>
            <w:tcW w:w="992" w:type="dxa"/>
            <w:shd w:val="clear" w:color="auto" w:fill="auto"/>
            <w:vAlign w:val="center"/>
          </w:tcPr>
          <w:p w14:paraId="70E173B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795.74</w:t>
            </w:r>
          </w:p>
        </w:tc>
        <w:tc>
          <w:tcPr>
            <w:tcW w:w="1276" w:type="dxa"/>
            <w:shd w:val="clear" w:color="auto" w:fill="auto"/>
            <w:vAlign w:val="center"/>
          </w:tcPr>
          <w:p w14:paraId="1421F90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795.74</w:t>
            </w:r>
          </w:p>
        </w:tc>
        <w:tc>
          <w:tcPr>
            <w:tcW w:w="1275" w:type="dxa"/>
            <w:shd w:val="clear" w:color="auto" w:fill="auto"/>
            <w:vAlign w:val="center"/>
          </w:tcPr>
          <w:p w14:paraId="765BFDA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993" w:type="dxa"/>
            <w:shd w:val="clear" w:color="auto" w:fill="auto"/>
            <w:vAlign w:val="center"/>
          </w:tcPr>
          <w:p w14:paraId="421FB82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184" w:type="dxa"/>
            <w:shd w:val="clear" w:color="auto" w:fill="auto"/>
            <w:vAlign w:val="center"/>
          </w:tcPr>
          <w:p w14:paraId="55E895F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334B6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90" w:type="dxa"/>
            <w:vMerge w:val="continue"/>
            <w:vAlign w:val="center"/>
          </w:tcPr>
          <w:p w14:paraId="64CC90F3">
            <w:pPr>
              <w:widowControl/>
              <w:jc w:val="left"/>
              <w:rPr>
                <w:rFonts w:hint="eastAsia" w:cs="宋体" w:asciiTheme="minorEastAsia" w:hAnsiTheme="minorEastAsia" w:eastAsiaTheme="minorEastAsia"/>
                <w:bCs/>
                <w:kern w:val="0"/>
                <w:sz w:val="20"/>
                <w:szCs w:val="20"/>
              </w:rPr>
            </w:pPr>
          </w:p>
        </w:tc>
        <w:tc>
          <w:tcPr>
            <w:tcW w:w="913" w:type="dxa"/>
            <w:shd w:val="clear" w:color="auto" w:fill="auto"/>
            <w:vAlign w:val="center"/>
          </w:tcPr>
          <w:p w14:paraId="16E19E1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其他资金</w:t>
            </w:r>
          </w:p>
        </w:tc>
        <w:tc>
          <w:tcPr>
            <w:tcW w:w="1199" w:type="dxa"/>
            <w:shd w:val="clear" w:color="auto" w:fill="auto"/>
            <w:vAlign w:val="center"/>
          </w:tcPr>
          <w:p w14:paraId="687A635E">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992" w:type="dxa"/>
            <w:shd w:val="clear" w:color="auto" w:fill="auto"/>
            <w:vAlign w:val="center"/>
          </w:tcPr>
          <w:p w14:paraId="3A4301E3">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1276" w:type="dxa"/>
            <w:shd w:val="clear" w:color="auto" w:fill="auto"/>
            <w:vAlign w:val="center"/>
          </w:tcPr>
          <w:p w14:paraId="37AC3B28">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1275" w:type="dxa"/>
            <w:shd w:val="clear" w:color="auto" w:fill="auto"/>
            <w:vAlign w:val="center"/>
          </w:tcPr>
          <w:p w14:paraId="6566314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993" w:type="dxa"/>
            <w:shd w:val="clear" w:color="auto" w:fill="auto"/>
            <w:vAlign w:val="center"/>
          </w:tcPr>
          <w:p w14:paraId="1C7CDF5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184" w:type="dxa"/>
            <w:shd w:val="clear" w:color="auto" w:fill="auto"/>
            <w:vAlign w:val="center"/>
          </w:tcPr>
          <w:p w14:paraId="7D90B3B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27128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90" w:type="dxa"/>
            <w:vMerge w:val="continue"/>
            <w:vAlign w:val="center"/>
          </w:tcPr>
          <w:p w14:paraId="6F939E7A">
            <w:pPr>
              <w:widowControl/>
              <w:jc w:val="left"/>
              <w:rPr>
                <w:rFonts w:hint="eastAsia" w:cs="宋体" w:asciiTheme="minorEastAsia" w:hAnsiTheme="minorEastAsia" w:eastAsiaTheme="minorEastAsia"/>
                <w:bCs/>
                <w:kern w:val="0"/>
                <w:sz w:val="20"/>
                <w:szCs w:val="20"/>
              </w:rPr>
            </w:pPr>
          </w:p>
        </w:tc>
        <w:tc>
          <w:tcPr>
            <w:tcW w:w="913" w:type="dxa"/>
            <w:shd w:val="clear" w:color="auto" w:fill="auto"/>
            <w:vAlign w:val="center"/>
          </w:tcPr>
          <w:p w14:paraId="0D33926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合计</w:t>
            </w:r>
          </w:p>
        </w:tc>
        <w:tc>
          <w:tcPr>
            <w:tcW w:w="1199" w:type="dxa"/>
            <w:shd w:val="clear" w:color="auto" w:fill="auto"/>
            <w:vAlign w:val="center"/>
          </w:tcPr>
          <w:p w14:paraId="0E852CD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860.83</w:t>
            </w:r>
          </w:p>
        </w:tc>
        <w:tc>
          <w:tcPr>
            <w:tcW w:w="992" w:type="dxa"/>
            <w:shd w:val="clear" w:color="auto" w:fill="auto"/>
            <w:vAlign w:val="center"/>
          </w:tcPr>
          <w:p w14:paraId="26166517">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923.74</w:t>
            </w:r>
          </w:p>
        </w:tc>
        <w:tc>
          <w:tcPr>
            <w:tcW w:w="1276" w:type="dxa"/>
            <w:shd w:val="clear" w:color="auto" w:fill="auto"/>
            <w:vAlign w:val="center"/>
          </w:tcPr>
          <w:p w14:paraId="4430D82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923.74</w:t>
            </w:r>
          </w:p>
        </w:tc>
        <w:tc>
          <w:tcPr>
            <w:tcW w:w="1275" w:type="dxa"/>
            <w:shd w:val="clear" w:color="auto" w:fill="auto"/>
            <w:vAlign w:val="center"/>
          </w:tcPr>
          <w:p w14:paraId="20E238B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993" w:type="dxa"/>
            <w:shd w:val="clear" w:color="auto" w:fill="auto"/>
            <w:vAlign w:val="center"/>
          </w:tcPr>
          <w:p w14:paraId="21A6ED2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184" w:type="dxa"/>
            <w:shd w:val="clear" w:color="auto" w:fill="auto"/>
            <w:vAlign w:val="center"/>
          </w:tcPr>
          <w:p w14:paraId="1BE4796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379AC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690" w:type="dxa"/>
            <w:vMerge w:val="restart"/>
            <w:shd w:val="clear" w:color="auto" w:fill="auto"/>
            <w:vAlign w:val="center"/>
          </w:tcPr>
          <w:p w14:paraId="0D4DF88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年度总体目标</w:t>
            </w:r>
          </w:p>
        </w:tc>
        <w:tc>
          <w:tcPr>
            <w:tcW w:w="3104" w:type="dxa"/>
            <w:gridSpan w:val="3"/>
            <w:shd w:val="clear" w:color="auto" w:fill="auto"/>
            <w:noWrap/>
            <w:vAlign w:val="center"/>
          </w:tcPr>
          <w:p w14:paraId="034395D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预期目标</w:t>
            </w:r>
          </w:p>
        </w:tc>
        <w:tc>
          <w:tcPr>
            <w:tcW w:w="4728" w:type="dxa"/>
            <w:gridSpan w:val="4"/>
            <w:shd w:val="clear" w:color="auto" w:fill="auto"/>
            <w:noWrap/>
            <w:vAlign w:val="center"/>
          </w:tcPr>
          <w:p w14:paraId="52D7B07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实际完成情况</w:t>
            </w:r>
          </w:p>
        </w:tc>
      </w:tr>
      <w:tr w14:paraId="7C780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9" w:hRule="atLeast"/>
          <w:jc w:val="center"/>
        </w:trPr>
        <w:tc>
          <w:tcPr>
            <w:tcW w:w="690" w:type="dxa"/>
            <w:vMerge w:val="continue"/>
            <w:vAlign w:val="center"/>
          </w:tcPr>
          <w:p w14:paraId="46E12A3D">
            <w:pPr>
              <w:widowControl/>
              <w:jc w:val="left"/>
              <w:rPr>
                <w:rFonts w:hint="eastAsia" w:cs="宋体" w:asciiTheme="minorEastAsia" w:hAnsiTheme="minorEastAsia" w:eastAsiaTheme="minorEastAsia"/>
                <w:bCs/>
                <w:kern w:val="0"/>
                <w:sz w:val="20"/>
                <w:szCs w:val="20"/>
              </w:rPr>
            </w:pPr>
          </w:p>
        </w:tc>
        <w:tc>
          <w:tcPr>
            <w:tcW w:w="3104" w:type="dxa"/>
            <w:gridSpan w:val="3"/>
            <w:shd w:val="clear" w:color="auto" w:fill="auto"/>
            <w:vAlign w:val="center"/>
          </w:tcPr>
          <w:p w14:paraId="471E519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指导全县普法依法治理工作；持续提高公共法律服务中心案件调解、法律援助案件办理及法律咨询服务效能；保障司法行政管理及业务经费支撑，推进工作深入开展。</w:t>
            </w:r>
          </w:p>
        </w:tc>
        <w:tc>
          <w:tcPr>
            <w:tcW w:w="4728" w:type="dxa"/>
            <w:gridSpan w:val="4"/>
            <w:shd w:val="clear" w:color="auto" w:fill="auto"/>
            <w:vAlign w:val="center"/>
          </w:tcPr>
          <w:p w14:paraId="712D934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lang w:eastAsia="zh-CN"/>
              </w:rPr>
              <w:t>截至2023年</w:t>
            </w:r>
            <w:r>
              <w:rPr>
                <w:rFonts w:hint="eastAsia" w:cs="宋体" w:asciiTheme="minorEastAsia" w:hAnsiTheme="minorEastAsia" w:eastAsiaTheme="minorEastAsia"/>
                <w:kern w:val="0"/>
                <w:sz w:val="20"/>
                <w:szCs w:val="20"/>
              </w:rPr>
              <w:t>我单位已完成如下工作：保障办公人员人数43人，保障公务用车数量3辆，调解纠纷数量1109起，办理法律援助案件数量140件。指导全县普法依法治理工作；持续提高公共法律服务中心案件调解、法律援助案件办理及法律咨询服务效能；保障司法行政管理及业务经费支撑，推进工作深入开展。我单位通过加强预算收支管理，不断建立健全内部管理制度，梳理内部管理流程，部门整体支出管理情况得到提升。</w:t>
            </w:r>
          </w:p>
        </w:tc>
      </w:tr>
      <w:tr w14:paraId="2B211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690" w:type="dxa"/>
            <w:shd w:val="clear" w:color="auto" w:fill="auto"/>
            <w:vAlign w:val="center"/>
          </w:tcPr>
          <w:p w14:paraId="22D21B41">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一级指标</w:t>
            </w:r>
          </w:p>
        </w:tc>
        <w:tc>
          <w:tcPr>
            <w:tcW w:w="913" w:type="dxa"/>
            <w:shd w:val="clear" w:color="auto" w:fill="auto"/>
            <w:vAlign w:val="center"/>
          </w:tcPr>
          <w:p w14:paraId="716C427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二级指标</w:t>
            </w:r>
          </w:p>
        </w:tc>
        <w:tc>
          <w:tcPr>
            <w:tcW w:w="1199" w:type="dxa"/>
            <w:shd w:val="clear" w:color="auto" w:fill="auto"/>
            <w:vAlign w:val="center"/>
          </w:tcPr>
          <w:p w14:paraId="613F7FE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三级指标</w:t>
            </w:r>
          </w:p>
        </w:tc>
        <w:tc>
          <w:tcPr>
            <w:tcW w:w="992" w:type="dxa"/>
            <w:shd w:val="clear" w:color="auto" w:fill="auto"/>
            <w:vAlign w:val="center"/>
          </w:tcPr>
          <w:p w14:paraId="5C1A169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预期指标值</w:t>
            </w:r>
          </w:p>
        </w:tc>
        <w:tc>
          <w:tcPr>
            <w:tcW w:w="1276" w:type="dxa"/>
            <w:shd w:val="clear" w:color="auto" w:fill="auto"/>
            <w:vAlign w:val="center"/>
          </w:tcPr>
          <w:p w14:paraId="6FE13A47">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指标值设定依据</w:t>
            </w:r>
          </w:p>
        </w:tc>
        <w:tc>
          <w:tcPr>
            <w:tcW w:w="1275" w:type="dxa"/>
            <w:shd w:val="clear" w:color="auto" w:fill="auto"/>
            <w:vAlign w:val="center"/>
          </w:tcPr>
          <w:p w14:paraId="2E85A211">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993" w:type="dxa"/>
            <w:shd w:val="clear" w:color="auto" w:fill="auto"/>
            <w:vAlign w:val="center"/>
          </w:tcPr>
          <w:p w14:paraId="57A72BC8">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实际完成指标值</w:t>
            </w:r>
          </w:p>
        </w:tc>
        <w:tc>
          <w:tcPr>
            <w:tcW w:w="1184" w:type="dxa"/>
            <w:shd w:val="clear" w:color="auto" w:fill="auto"/>
            <w:vAlign w:val="center"/>
          </w:tcPr>
          <w:p w14:paraId="43478E0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14:paraId="421BC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90" w:type="dxa"/>
            <w:vMerge w:val="restart"/>
            <w:shd w:val="clear" w:color="auto" w:fill="auto"/>
            <w:vAlign w:val="center"/>
          </w:tcPr>
          <w:p w14:paraId="2F4404E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913" w:type="dxa"/>
            <w:vMerge w:val="restart"/>
            <w:shd w:val="clear" w:color="auto" w:fill="auto"/>
            <w:vAlign w:val="center"/>
          </w:tcPr>
          <w:p w14:paraId="5F7E085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199" w:type="dxa"/>
            <w:shd w:val="clear" w:color="auto" w:fill="auto"/>
            <w:vAlign w:val="center"/>
          </w:tcPr>
          <w:p w14:paraId="011297F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保障办公人员人数</w:t>
            </w:r>
          </w:p>
        </w:tc>
        <w:tc>
          <w:tcPr>
            <w:tcW w:w="992" w:type="dxa"/>
            <w:shd w:val="clear" w:color="auto" w:fill="auto"/>
            <w:vAlign w:val="center"/>
          </w:tcPr>
          <w:p w14:paraId="415CDEE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&gt;=43人</w:t>
            </w:r>
          </w:p>
        </w:tc>
        <w:tc>
          <w:tcPr>
            <w:tcW w:w="1276" w:type="dxa"/>
            <w:shd w:val="clear" w:color="auto" w:fill="auto"/>
            <w:vAlign w:val="center"/>
          </w:tcPr>
          <w:p w14:paraId="22E1488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中共木垒县委员会办公室木垒县人民政府办公室关于印发《木垒哈萨克自治县司法局职能配置、内设机构和人员编制规定》的通知</w:t>
            </w:r>
          </w:p>
        </w:tc>
        <w:tc>
          <w:tcPr>
            <w:tcW w:w="1275" w:type="dxa"/>
            <w:shd w:val="clear" w:color="auto" w:fill="auto"/>
            <w:vAlign w:val="center"/>
          </w:tcPr>
          <w:p w14:paraId="37A714F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993" w:type="dxa"/>
            <w:shd w:val="clear" w:color="auto" w:fill="auto"/>
            <w:vAlign w:val="center"/>
          </w:tcPr>
          <w:p w14:paraId="1FDD1A7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43人</w:t>
            </w:r>
          </w:p>
        </w:tc>
        <w:tc>
          <w:tcPr>
            <w:tcW w:w="1184" w:type="dxa"/>
            <w:shd w:val="clear" w:color="auto" w:fill="auto"/>
            <w:vAlign w:val="center"/>
          </w:tcPr>
          <w:p w14:paraId="004DC21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1125C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90" w:type="dxa"/>
            <w:vMerge w:val="continue"/>
            <w:vAlign w:val="center"/>
          </w:tcPr>
          <w:p w14:paraId="3F52B50B">
            <w:pPr>
              <w:widowControl/>
              <w:jc w:val="left"/>
              <w:rPr>
                <w:rFonts w:hint="eastAsia" w:cs="宋体" w:asciiTheme="minorEastAsia" w:hAnsiTheme="minorEastAsia" w:eastAsiaTheme="minorEastAsia"/>
                <w:kern w:val="0"/>
                <w:sz w:val="20"/>
                <w:szCs w:val="20"/>
              </w:rPr>
            </w:pPr>
          </w:p>
        </w:tc>
        <w:tc>
          <w:tcPr>
            <w:tcW w:w="913" w:type="dxa"/>
            <w:vMerge w:val="continue"/>
            <w:vAlign w:val="center"/>
          </w:tcPr>
          <w:p w14:paraId="62F84315">
            <w:pPr>
              <w:widowControl/>
              <w:jc w:val="left"/>
              <w:rPr>
                <w:rFonts w:hint="eastAsia" w:cs="宋体" w:asciiTheme="minorEastAsia" w:hAnsiTheme="minorEastAsia" w:eastAsiaTheme="minorEastAsia"/>
                <w:kern w:val="0"/>
                <w:sz w:val="20"/>
                <w:szCs w:val="20"/>
              </w:rPr>
            </w:pPr>
          </w:p>
        </w:tc>
        <w:tc>
          <w:tcPr>
            <w:tcW w:w="1199" w:type="dxa"/>
            <w:shd w:val="clear" w:color="auto" w:fill="auto"/>
            <w:vAlign w:val="center"/>
          </w:tcPr>
          <w:p w14:paraId="69325F8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保障公务用车数量</w:t>
            </w:r>
          </w:p>
        </w:tc>
        <w:tc>
          <w:tcPr>
            <w:tcW w:w="992" w:type="dxa"/>
            <w:shd w:val="clear" w:color="auto" w:fill="auto"/>
            <w:vAlign w:val="center"/>
          </w:tcPr>
          <w:p w14:paraId="4C87DB9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&gt;=3辆</w:t>
            </w:r>
          </w:p>
        </w:tc>
        <w:tc>
          <w:tcPr>
            <w:tcW w:w="1276" w:type="dxa"/>
            <w:shd w:val="clear" w:color="auto" w:fill="auto"/>
            <w:vAlign w:val="center"/>
          </w:tcPr>
          <w:p w14:paraId="130115D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中共木垒县委员会办公室木垒县人民政府办公室关于印发《木垒哈萨克自治县司法局职能配置、内设机构和人员编制规定》的通知</w:t>
            </w:r>
          </w:p>
        </w:tc>
        <w:tc>
          <w:tcPr>
            <w:tcW w:w="1275" w:type="dxa"/>
            <w:shd w:val="clear" w:color="auto" w:fill="auto"/>
            <w:vAlign w:val="center"/>
          </w:tcPr>
          <w:p w14:paraId="2BB0947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993" w:type="dxa"/>
            <w:shd w:val="clear" w:color="auto" w:fill="auto"/>
            <w:vAlign w:val="center"/>
          </w:tcPr>
          <w:p w14:paraId="303CFA5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3辆</w:t>
            </w:r>
          </w:p>
        </w:tc>
        <w:tc>
          <w:tcPr>
            <w:tcW w:w="1184" w:type="dxa"/>
            <w:shd w:val="clear" w:color="auto" w:fill="auto"/>
            <w:vAlign w:val="center"/>
          </w:tcPr>
          <w:p w14:paraId="2E5BC1C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2A447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90" w:type="dxa"/>
            <w:vMerge w:val="restart"/>
            <w:shd w:val="clear" w:color="auto" w:fill="auto"/>
            <w:vAlign w:val="center"/>
          </w:tcPr>
          <w:p w14:paraId="364C3E7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913" w:type="dxa"/>
            <w:vMerge w:val="continue"/>
            <w:vAlign w:val="center"/>
          </w:tcPr>
          <w:p w14:paraId="26043C16">
            <w:pPr>
              <w:widowControl/>
              <w:jc w:val="left"/>
              <w:rPr>
                <w:rFonts w:hint="eastAsia" w:cs="宋体" w:asciiTheme="minorEastAsia" w:hAnsiTheme="minorEastAsia" w:eastAsiaTheme="minorEastAsia"/>
                <w:kern w:val="0"/>
                <w:sz w:val="20"/>
                <w:szCs w:val="20"/>
              </w:rPr>
            </w:pPr>
          </w:p>
        </w:tc>
        <w:tc>
          <w:tcPr>
            <w:tcW w:w="1199" w:type="dxa"/>
            <w:shd w:val="clear" w:color="auto" w:fill="auto"/>
            <w:vAlign w:val="center"/>
          </w:tcPr>
          <w:p w14:paraId="0B81D2F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调解纠纷数量</w:t>
            </w:r>
          </w:p>
        </w:tc>
        <w:tc>
          <w:tcPr>
            <w:tcW w:w="992" w:type="dxa"/>
            <w:shd w:val="clear" w:color="auto" w:fill="auto"/>
            <w:vAlign w:val="center"/>
          </w:tcPr>
          <w:p w14:paraId="0E86FF5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&gt;=750件</w:t>
            </w:r>
          </w:p>
        </w:tc>
        <w:tc>
          <w:tcPr>
            <w:tcW w:w="1276" w:type="dxa"/>
            <w:shd w:val="clear" w:color="auto" w:fill="auto"/>
            <w:vAlign w:val="center"/>
          </w:tcPr>
          <w:p w14:paraId="6BFE432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木垒县司法局2023年工作计划</w:t>
            </w:r>
          </w:p>
        </w:tc>
        <w:tc>
          <w:tcPr>
            <w:tcW w:w="1275" w:type="dxa"/>
            <w:shd w:val="clear" w:color="auto" w:fill="auto"/>
            <w:vAlign w:val="center"/>
          </w:tcPr>
          <w:p w14:paraId="1463493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993" w:type="dxa"/>
            <w:shd w:val="clear" w:color="auto" w:fill="auto"/>
            <w:vAlign w:val="center"/>
          </w:tcPr>
          <w:p w14:paraId="3FFCD49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1109件</w:t>
            </w:r>
          </w:p>
        </w:tc>
        <w:tc>
          <w:tcPr>
            <w:tcW w:w="1184" w:type="dxa"/>
            <w:shd w:val="clear" w:color="auto" w:fill="auto"/>
            <w:vAlign w:val="center"/>
          </w:tcPr>
          <w:p w14:paraId="617395B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66368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90" w:type="dxa"/>
            <w:vMerge w:val="continue"/>
            <w:vAlign w:val="center"/>
          </w:tcPr>
          <w:p w14:paraId="1F7F7290">
            <w:pPr>
              <w:widowControl/>
              <w:jc w:val="left"/>
              <w:rPr>
                <w:rFonts w:hint="eastAsia" w:cs="宋体" w:asciiTheme="minorEastAsia" w:hAnsiTheme="minorEastAsia" w:eastAsiaTheme="minorEastAsia"/>
                <w:kern w:val="0"/>
                <w:sz w:val="20"/>
                <w:szCs w:val="20"/>
              </w:rPr>
            </w:pPr>
          </w:p>
        </w:tc>
        <w:tc>
          <w:tcPr>
            <w:tcW w:w="913" w:type="dxa"/>
            <w:vMerge w:val="continue"/>
            <w:vAlign w:val="center"/>
          </w:tcPr>
          <w:p w14:paraId="775ABEAC">
            <w:pPr>
              <w:widowControl/>
              <w:jc w:val="left"/>
              <w:rPr>
                <w:rFonts w:hint="eastAsia" w:cs="宋体" w:asciiTheme="minorEastAsia" w:hAnsiTheme="minorEastAsia" w:eastAsiaTheme="minorEastAsia"/>
                <w:kern w:val="0"/>
                <w:sz w:val="20"/>
                <w:szCs w:val="20"/>
              </w:rPr>
            </w:pPr>
          </w:p>
        </w:tc>
        <w:tc>
          <w:tcPr>
            <w:tcW w:w="1199" w:type="dxa"/>
            <w:shd w:val="clear" w:color="auto" w:fill="auto"/>
            <w:vAlign w:val="center"/>
          </w:tcPr>
          <w:p w14:paraId="6F51CDC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办理法律援助案件数量</w:t>
            </w:r>
          </w:p>
        </w:tc>
        <w:tc>
          <w:tcPr>
            <w:tcW w:w="992" w:type="dxa"/>
            <w:shd w:val="clear" w:color="auto" w:fill="auto"/>
            <w:vAlign w:val="center"/>
          </w:tcPr>
          <w:p w14:paraId="30516BD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&gt;=140件</w:t>
            </w:r>
          </w:p>
        </w:tc>
        <w:tc>
          <w:tcPr>
            <w:tcW w:w="1276" w:type="dxa"/>
            <w:shd w:val="clear" w:color="auto" w:fill="auto"/>
            <w:vAlign w:val="center"/>
          </w:tcPr>
          <w:p w14:paraId="3EA2273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木垒县司法局2023年工作计划</w:t>
            </w:r>
          </w:p>
        </w:tc>
        <w:tc>
          <w:tcPr>
            <w:tcW w:w="1275" w:type="dxa"/>
            <w:shd w:val="clear" w:color="auto" w:fill="auto"/>
            <w:vAlign w:val="center"/>
          </w:tcPr>
          <w:p w14:paraId="6DC821B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993" w:type="dxa"/>
            <w:shd w:val="clear" w:color="auto" w:fill="auto"/>
            <w:vAlign w:val="center"/>
          </w:tcPr>
          <w:p w14:paraId="31C2E33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140件</w:t>
            </w:r>
          </w:p>
        </w:tc>
        <w:tc>
          <w:tcPr>
            <w:tcW w:w="1184" w:type="dxa"/>
            <w:shd w:val="clear" w:color="auto" w:fill="auto"/>
            <w:vAlign w:val="center"/>
          </w:tcPr>
          <w:p w14:paraId="1C939E8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00EF7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90" w:type="dxa"/>
            <w:vMerge w:val="continue"/>
            <w:vAlign w:val="center"/>
          </w:tcPr>
          <w:p w14:paraId="549196CC">
            <w:pPr>
              <w:widowControl/>
              <w:jc w:val="left"/>
              <w:rPr>
                <w:rFonts w:hint="eastAsia" w:cs="宋体" w:asciiTheme="minorEastAsia" w:hAnsiTheme="minorEastAsia" w:eastAsiaTheme="minorEastAsia"/>
                <w:kern w:val="0"/>
                <w:sz w:val="20"/>
                <w:szCs w:val="20"/>
              </w:rPr>
            </w:pPr>
          </w:p>
        </w:tc>
        <w:tc>
          <w:tcPr>
            <w:tcW w:w="913" w:type="dxa"/>
            <w:vMerge w:val="continue"/>
            <w:vAlign w:val="center"/>
          </w:tcPr>
          <w:p w14:paraId="7052E048">
            <w:pPr>
              <w:widowControl/>
              <w:jc w:val="left"/>
              <w:rPr>
                <w:rFonts w:hint="eastAsia" w:cs="宋体" w:asciiTheme="minorEastAsia" w:hAnsiTheme="minorEastAsia" w:eastAsiaTheme="minorEastAsia"/>
                <w:kern w:val="0"/>
                <w:sz w:val="20"/>
                <w:szCs w:val="20"/>
              </w:rPr>
            </w:pPr>
          </w:p>
        </w:tc>
        <w:tc>
          <w:tcPr>
            <w:tcW w:w="1199" w:type="dxa"/>
            <w:shd w:val="clear" w:color="auto" w:fill="auto"/>
            <w:vAlign w:val="center"/>
          </w:tcPr>
          <w:p w14:paraId="367311A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提高矛盾纠纷化解办结率</w:t>
            </w:r>
          </w:p>
        </w:tc>
        <w:tc>
          <w:tcPr>
            <w:tcW w:w="992" w:type="dxa"/>
            <w:shd w:val="clear" w:color="auto" w:fill="auto"/>
            <w:vAlign w:val="center"/>
          </w:tcPr>
          <w:p w14:paraId="777847D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&gt;=90%</w:t>
            </w:r>
          </w:p>
        </w:tc>
        <w:tc>
          <w:tcPr>
            <w:tcW w:w="1276" w:type="dxa"/>
            <w:shd w:val="clear" w:color="auto" w:fill="auto"/>
            <w:vAlign w:val="center"/>
          </w:tcPr>
          <w:p w14:paraId="5C691B0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木垒县司法局2023年工作计划</w:t>
            </w:r>
          </w:p>
        </w:tc>
        <w:tc>
          <w:tcPr>
            <w:tcW w:w="1275" w:type="dxa"/>
            <w:shd w:val="clear" w:color="auto" w:fill="auto"/>
            <w:vAlign w:val="center"/>
          </w:tcPr>
          <w:p w14:paraId="473FF66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993" w:type="dxa"/>
            <w:shd w:val="clear" w:color="auto" w:fill="auto"/>
            <w:vAlign w:val="center"/>
          </w:tcPr>
          <w:p w14:paraId="7BDB983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90%</w:t>
            </w:r>
          </w:p>
        </w:tc>
        <w:tc>
          <w:tcPr>
            <w:tcW w:w="1184" w:type="dxa"/>
            <w:shd w:val="clear" w:color="auto" w:fill="auto"/>
            <w:vAlign w:val="center"/>
          </w:tcPr>
          <w:p w14:paraId="326C546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2722B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90" w:type="dxa"/>
            <w:vMerge w:val="continue"/>
            <w:vAlign w:val="center"/>
          </w:tcPr>
          <w:p w14:paraId="7E57C25A">
            <w:pPr>
              <w:widowControl/>
              <w:jc w:val="left"/>
              <w:rPr>
                <w:rFonts w:hint="eastAsia" w:cs="宋体" w:asciiTheme="minorEastAsia" w:hAnsiTheme="minorEastAsia" w:eastAsiaTheme="minorEastAsia"/>
                <w:kern w:val="0"/>
                <w:sz w:val="20"/>
                <w:szCs w:val="20"/>
              </w:rPr>
            </w:pPr>
          </w:p>
        </w:tc>
        <w:tc>
          <w:tcPr>
            <w:tcW w:w="913" w:type="dxa"/>
            <w:vMerge w:val="continue"/>
            <w:vAlign w:val="center"/>
          </w:tcPr>
          <w:p w14:paraId="07C7E5D2">
            <w:pPr>
              <w:widowControl/>
              <w:jc w:val="left"/>
              <w:rPr>
                <w:rFonts w:hint="eastAsia" w:cs="宋体" w:asciiTheme="minorEastAsia" w:hAnsiTheme="minorEastAsia" w:eastAsiaTheme="minorEastAsia"/>
                <w:kern w:val="0"/>
                <w:sz w:val="20"/>
                <w:szCs w:val="20"/>
              </w:rPr>
            </w:pPr>
          </w:p>
        </w:tc>
        <w:tc>
          <w:tcPr>
            <w:tcW w:w="1199" w:type="dxa"/>
            <w:shd w:val="clear" w:color="auto" w:fill="auto"/>
            <w:noWrap/>
            <w:vAlign w:val="center"/>
          </w:tcPr>
          <w:p w14:paraId="1AC8505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开展法律培训宣传教育活动</w:t>
            </w:r>
          </w:p>
        </w:tc>
        <w:tc>
          <w:tcPr>
            <w:tcW w:w="992" w:type="dxa"/>
            <w:shd w:val="clear" w:color="auto" w:fill="auto"/>
            <w:noWrap/>
            <w:vAlign w:val="center"/>
          </w:tcPr>
          <w:p w14:paraId="11BE725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&gt;=48次</w:t>
            </w:r>
          </w:p>
        </w:tc>
        <w:tc>
          <w:tcPr>
            <w:tcW w:w="1276" w:type="dxa"/>
            <w:shd w:val="clear" w:color="auto" w:fill="auto"/>
            <w:noWrap/>
            <w:vAlign w:val="center"/>
          </w:tcPr>
          <w:p w14:paraId="52356CE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木垒县司法局2023年工作计划</w:t>
            </w:r>
          </w:p>
        </w:tc>
        <w:tc>
          <w:tcPr>
            <w:tcW w:w="1275" w:type="dxa"/>
            <w:shd w:val="clear" w:color="auto" w:fill="auto"/>
            <w:noWrap/>
            <w:vAlign w:val="center"/>
          </w:tcPr>
          <w:p w14:paraId="66A029C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w:t>
            </w:r>
          </w:p>
        </w:tc>
        <w:tc>
          <w:tcPr>
            <w:tcW w:w="993" w:type="dxa"/>
            <w:shd w:val="clear" w:color="auto" w:fill="auto"/>
            <w:noWrap/>
            <w:vAlign w:val="center"/>
          </w:tcPr>
          <w:p w14:paraId="296F3F7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48次</w:t>
            </w:r>
          </w:p>
        </w:tc>
        <w:tc>
          <w:tcPr>
            <w:tcW w:w="1184" w:type="dxa"/>
            <w:shd w:val="clear" w:color="auto" w:fill="auto"/>
            <w:noWrap/>
            <w:vAlign w:val="center"/>
          </w:tcPr>
          <w:p w14:paraId="2BE263FD">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w:t>
            </w:r>
          </w:p>
        </w:tc>
      </w:tr>
      <w:tr w14:paraId="54A51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90" w:type="dxa"/>
            <w:vMerge w:val="continue"/>
            <w:vAlign w:val="center"/>
          </w:tcPr>
          <w:p w14:paraId="7AD6243F">
            <w:pPr>
              <w:widowControl/>
              <w:jc w:val="left"/>
              <w:rPr>
                <w:rFonts w:hint="eastAsia" w:cs="宋体" w:asciiTheme="minorEastAsia" w:hAnsiTheme="minorEastAsia" w:eastAsiaTheme="minorEastAsia"/>
                <w:kern w:val="0"/>
                <w:sz w:val="20"/>
                <w:szCs w:val="20"/>
              </w:rPr>
            </w:pPr>
          </w:p>
        </w:tc>
        <w:tc>
          <w:tcPr>
            <w:tcW w:w="913" w:type="dxa"/>
            <w:vMerge w:val="continue"/>
            <w:vAlign w:val="center"/>
          </w:tcPr>
          <w:p w14:paraId="04397941">
            <w:pPr>
              <w:widowControl/>
              <w:jc w:val="left"/>
              <w:rPr>
                <w:rFonts w:hint="eastAsia" w:cs="宋体" w:asciiTheme="minorEastAsia" w:hAnsiTheme="minorEastAsia" w:eastAsiaTheme="minorEastAsia"/>
                <w:kern w:val="0"/>
                <w:sz w:val="20"/>
                <w:szCs w:val="20"/>
              </w:rPr>
            </w:pPr>
          </w:p>
        </w:tc>
        <w:tc>
          <w:tcPr>
            <w:tcW w:w="1199" w:type="dxa"/>
            <w:shd w:val="clear" w:color="auto" w:fill="auto"/>
            <w:noWrap/>
            <w:vAlign w:val="center"/>
          </w:tcPr>
          <w:p w14:paraId="2BED698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公职网上参学考试率</w:t>
            </w:r>
          </w:p>
        </w:tc>
        <w:tc>
          <w:tcPr>
            <w:tcW w:w="992" w:type="dxa"/>
            <w:shd w:val="clear" w:color="auto" w:fill="auto"/>
            <w:noWrap/>
            <w:vAlign w:val="center"/>
          </w:tcPr>
          <w:p w14:paraId="4DF68C1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276" w:type="dxa"/>
            <w:shd w:val="clear" w:color="auto" w:fill="auto"/>
            <w:noWrap/>
            <w:vAlign w:val="center"/>
          </w:tcPr>
          <w:p w14:paraId="0668B6E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木垒县司法局2023年工作计划</w:t>
            </w:r>
          </w:p>
        </w:tc>
        <w:tc>
          <w:tcPr>
            <w:tcW w:w="1275" w:type="dxa"/>
            <w:shd w:val="clear" w:color="auto" w:fill="auto"/>
            <w:noWrap/>
            <w:vAlign w:val="center"/>
          </w:tcPr>
          <w:p w14:paraId="7A3D9B6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993" w:type="dxa"/>
            <w:shd w:val="clear" w:color="auto" w:fill="auto"/>
            <w:noWrap/>
            <w:vAlign w:val="center"/>
          </w:tcPr>
          <w:p w14:paraId="287E9B7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1184" w:type="dxa"/>
            <w:shd w:val="clear" w:color="auto" w:fill="auto"/>
            <w:noWrap/>
            <w:vAlign w:val="center"/>
          </w:tcPr>
          <w:p w14:paraId="1C1E6212">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bl>
    <w:p w14:paraId="7CB10353">
      <w:pPr>
        <w:ind w:firstLine="640" w:firstLineChars="200"/>
        <w:jc w:val="left"/>
        <w:rPr>
          <w:rFonts w:hint="eastAsia" w:ascii="黑体" w:hAnsi="黑体" w:eastAsia="黑体" w:cs="宋体"/>
          <w:bCs/>
          <w:kern w:val="0"/>
          <w:sz w:val="32"/>
          <w:szCs w:val="32"/>
        </w:rPr>
      </w:pPr>
    </w:p>
    <w:p w14:paraId="2DD9717A">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09E32592">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w:t>
      </w:r>
      <w:r>
        <w:rPr>
          <w:rFonts w:hint="eastAsia" w:ascii="仿宋_GB2312" w:hAnsi="仿宋_GB2312" w:eastAsia="仿宋_GB2312" w:cs="仿宋_GB2312"/>
          <w:kern w:val="0"/>
          <w:sz w:val="32"/>
          <w:szCs w:val="32"/>
          <w:lang w:val="en-US" w:eastAsia="zh-CN"/>
        </w:rPr>
        <w:t>单位</w:t>
      </w:r>
      <w:bookmarkStart w:id="48" w:name="_GoBack"/>
      <w:bookmarkEnd w:id="48"/>
      <w:r>
        <w:rPr>
          <w:rFonts w:hint="eastAsia" w:ascii="仿宋_GB2312" w:hAnsi="仿宋_GB2312" w:eastAsia="仿宋_GB2312" w:cs="仿宋_GB2312"/>
          <w:kern w:val="0"/>
          <w:sz w:val="32"/>
          <w:szCs w:val="32"/>
        </w:rPr>
        <w:t>当年预算绩效评价项目有1个涉密项目，涉及全年预算数</w:t>
      </w:r>
      <w:r>
        <w:rPr>
          <w:rFonts w:hint="eastAsia" w:ascii="仿宋_GB2312" w:eastAsia="仿宋_GB2312"/>
          <w:sz w:val="32"/>
          <w:szCs w:val="32"/>
        </w:rPr>
        <w:t>128</w:t>
      </w:r>
      <w:r>
        <w:rPr>
          <w:rFonts w:ascii="仿宋_GB2312" w:eastAsia="仿宋_GB2312"/>
          <w:sz w:val="32"/>
          <w:szCs w:val="32"/>
        </w:rPr>
        <w:t>.</w:t>
      </w:r>
      <w:r>
        <w:rPr>
          <w:rFonts w:hint="eastAsia" w:ascii="仿宋_GB2312" w:hAnsi="仿宋_GB2312" w:eastAsia="仿宋_GB2312" w:cs="仿宋_GB2312"/>
          <w:kern w:val="0"/>
          <w:sz w:val="32"/>
          <w:szCs w:val="32"/>
        </w:rPr>
        <w:t>00万元，全年执行数</w:t>
      </w:r>
      <w:r>
        <w:rPr>
          <w:rFonts w:ascii="仿宋_GB2312" w:hAnsi="仿宋_GB2312" w:eastAsia="仿宋_GB2312" w:cs="仿宋_GB2312"/>
          <w:kern w:val="0"/>
          <w:sz w:val="32"/>
          <w:szCs w:val="32"/>
        </w:rPr>
        <w:t>128.00</w:t>
      </w:r>
      <w:r>
        <w:rPr>
          <w:rFonts w:hint="eastAsia" w:ascii="仿宋_GB2312" w:hAnsi="仿宋_GB2312" w:eastAsia="仿宋_GB2312" w:cs="仿宋_GB2312"/>
          <w:kern w:val="0"/>
          <w:sz w:val="32"/>
          <w:szCs w:val="32"/>
        </w:rPr>
        <w:t>万元，未公开绩效自评表原因：涉密项目不公开项目绩效自评表。</w:t>
      </w:r>
    </w:p>
    <w:p w14:paraId="6A251A1E">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2C67E71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2918157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1BFB9EF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1F0D45F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5B40DF7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62CA3C9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03841F1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7EA976D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6410CD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489776B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75B3258C">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74B4537B">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44F39DFA">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100693E">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17D25F2B">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7C99C0D2">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31872E14">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29FF7D6C">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497B6F00">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1F5E39E1">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7CDF2F45">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192575A9">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4D1F9728">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4FF6AD4D">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45633FA9">
      <w:pPr>
        <w:ind w:firstLine="640" w:firstLineChars="200"/>
        <w:rPr>
          <w:rFonts w:ascii="仿宋_GB2312" w:eastAsia="仿宋_GB2312"/>
          <w:sz w:val="32"/>
          <w:szCs w:val="32"/>
        </w:rPr>
      </w:pPr>
    </w:p>
    <w:p w14:paraId="0B8E0453">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0C9F79">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5B86693">
                          <w:pPr>
                            <w:pStyle w:val="4"/>
                          </w:pPr>
                          <w:r>
                            <w:rPr>
                              <w:rFonts w:hint="eastAsia"/>
                            </w:rPr>
                            <w:fldChar w:fldCharType="begin"/>
                          </w:r>
                          <w:r>
                            <w:rPr>
                              <w:rFonts w:hint="eastAsia"/>
                            </w:rPr>
                            <w:instrText xml:space="preserve"> PAGE  \* MERGEFORMAT </w:instrText>
                          </w:r>
                          <w:r>
                            <w:rPr>
                              <w:rFonts w:hint="eastAsia"/>
                            </w:rPr>
                            <w:fldChar w:fldCharType="separate"/>
                          </w:r>
                          <w:r>
                            <w:t>16</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75B86693">
                    <w:pPr>
                      <w:pStyle w:val="4"/>
                    </w:pPr>
                    <w:r>
                      <w:rPr>
                        <w:rFonts w:hint="eastAsia"/>
                      </w:rPr>
                      <w:fldChar w:fldCharType="begin"/>
                    </w:r>
                    <w:r>
                      <w:rPr>
                        <w:rFonts w:hint="eastAsia"/>
                      </w:rPr>
                      <w:instrText xml:space="preserve"> PAGE  \* MERGEFORMAT </w:instrText>
                    </w:r>
                    <w:r>
                      <w:rPr>
                        <w:rFonts w:hint="eastAsia"/>
                      </w:rPr>
                      <w:fldChar w:fldCharType="separate"/>
                    </w:r>
                    <w:r>
                      <w:t>16</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AE42F0"/>
    <w:rsid w:val="001E100A"/>
    <w:rsid w:val="00213C59"/>
    <w:rsid w:val="003210CE"/>
    <w:rsid w:val="00326EFB"/>
    <w:rsid w:val="003413F1"/>
    <w:rsid w:val="00381D9D"/>
    <w:rsid w:val="004D5BD6"/>
    <w:rsid w:val="005A2ABA"/>
    <w:rsid w:val="00626A1B"/>
    <w:rsid w:val="0065202B"/>
    <w:rsid w:val="00675FBD"/>
    <w:rsid w:val="0075777F"/>
    <w:rsid w:val="00816545"/>
    <w:rsid w:val="008E3C1A"/>
    <w:rsid w:val="00903DE1"/>
    <w:rsid w:val="00946BBC"/>
    <w:rsid w:val="009B52F3"/>
    <w:rsid w:val="00A70104"/>
    <w:rsid w:val="00AC7CDE"/>
    <w:rsid w:val="00AE42F0"/>
    <w:rsid w:val="00B70D59"/>
    <w:rsid w:val="00D339FE"/>
    <w:rsid w:val="00DE2390"/>
    <w:rsid w:val="00E50BCA"/>
    <w:rsid w:val="00EA0077"/>
    <w:rsid w:val="00F0551C"/>
    <w:rsid w:val="00F52A8D"/>
    <w:rsid w:val="00F84896"/>
    <w:rsid w:val="00FF65E2"/>
    <w:rsid w:val="019404F8"/>
    <w:rsid w:val="02BD3108"/>
    <w:rsid w:val="02F73D26"/>
    <w:rsid w:val="034D4FEF"/>
    <w:rsid w:val="035D1785"/>
    <w:rsid w:val="039F47CE"/>
    <w:rsid w:val="03E05CE8"/>
    <w:rsid w:val="03F973EE"/>
    <w:rsid w:val="043E5B56"/>
    <w:rsid w:val="04C04386"/>
    <w:rsid w:val="04D96608"/>
    <w:rsid w:val="04FA68C4"/>
    <w:rsid w:val="053F5AE6"/>
    <w:rsid w:val="057C0B0F"/>
    <w:rsid w:val="05B11C69"/>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59D2703"/>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7156DA"/>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1D45C8"/>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D8D10EE"/>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6340</Words>
  <Characters>7167</Characters>
  <Lines>62</Lines>
  <Paragraphs>17</Paragraphs>
  <TotalTime>1</TotalTime>
  <ScaleCrop>false</ScaleCrop>
  <LinksUpToDate>false</LinksUpToDate>
  <CharactersWithSpaces>7177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2024-12-27T05:52:57Z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y fmtid="{D5CDD505-2E9C-101B-9397-08002B2CF9AE}" pid="4" name="KSOTemplateDocerSaveRecord">
    <vt:lpwstr>eyJoZGlkIjoiMzEwNTM5NzYwMDRjMzkwZTVkZjY2ODkwMGIxNGU0OTUiLCJ1c2VySWQiOiIxMTcxMDQ1MzEwIn0=</vt:lpwstr>
  </property>
</Properties>
</file>